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25896" w14:textId="77777777" w:rsidR="00791392" w:rsidRPr="00791392" w:rsidRDefault="00791392" w:rsidP="00791392">
      <w:pPr>
        <w:spacing w:after="0" w:line="240" w:lineRule="auto"/>
        <w:ind w:left="2891" w:right="57"/>
        <w:rPr>
          <w:rFonts w:ascii="Arial" w:eastAsia="TimesET" w:hAnsi="Arial" w:cs="Arial"/>
          <w:b/>
          <w:bCs/>
          <w:kern w:val="0"/>
          <w:sz w:val="20"/>
          <w:szCs w:val="20"/>
          <w:u w:val="single" w:color="000000"/>
          <w:lang w:eastAsia="ru-RU"/>
          <w14:ligatures w14:val="none"/>
        </w:rPr>
      </w:pPr>
      <w:r w:rsidRPr="00791392">
        <w:rPr>
          <w:rFonts w:ascii="Arial" w:eastAsia="TimesET" w:hAnsi="Arial" w:cs="Arial"/>
          <w:b/>
          <w:bCs/>
          <w:kern w:val="0"/>
          <w:sz w:val="20"/>
          <w:szCs w:val="20"/>
          <w:u w:val="single" w:color="000000"/>
          <w:lang w:eastAsia="ru-RU"/>
          <w14:ligatures w14:val="none"/>
        </w:rPr>
        <w:t>Основные условия «Кредитная карта»</w:t>
      </w:r>
    </w:p>
    <w:p w14:paraId="557D6A87" w14:textId="77777777" w:rsidR="00791392" w:rsidRPr="00791392" w:rsidRDefault="00791392" w:rsidP="00791392">
      <w:pPr>
        <w:spacing w:after="0" w:line="240" w:lineRule="auto"/>
        <w:ind w:left="2891" w:right="57"/>
        <w:rPr>
          <w:rFonts w:ascii="Arial" w:eastAsia="TimesET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tbl>
      <w:tblPr>
        <w:tblStyle w:val="TableGrid"/>
        <w:tblW w:w="10498" w:type="dxa"/>
        <w:tblInd w:w="-138" w:type="dxa"/>
        <w:tblCellMar>
          <w:top w:w="4" w:type="dxa"/>
          <w:left w:w="37" w:type="dxa"/>
          <w:right w:w="54" w:type="dxa"/>
        </w:tblCellMar>
        <w:tblLook w:val="04A0" w:firstRow="1" w:lastRow="0" w:firstColumn="1" w:lastColumn="0" w:noHBand="0" w:noVBand="1"/>
      </w:tblPr>
      <w:tblGrid>
        <w:gridCol w:w="633"/>
        <w:gridCol w:w="2662"/>
        <w:gridCol w:w="7203"/>
      </w:tblGrid>
      <w:tr w:rsidR="00791392" w:rsidRPr="00791392" w14:paraId="78417D33" w14:textId="77777777" w:rsidTr="007B41C6">
        <w:trPr>
          <w:trHeight w:val="244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6C9695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Вид</w:t>
            </w:r>
          </w:p>
        </w:tc>
        <w:tc>
          <w:tcPr>
            <w:tcW w:w="26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D9AE4B" w14:textId="77777777" w:rsidR="00791392" w:rsidRPr="00791392" w:rsidRDefault="00791392" w:rsidP="00791392">
            <w:pPr>
              <w:ind w:right="57"/>
              <w:rPr>
                <w:rFonts w:ascii="Arial" w:eastAsia="TimesET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036C1" w14:textId="77777777" w:rsidR="00791392" w:rsidRPr="00791392" w:rsidRDefault="00791392" w:rsidP="00791392">
            <w:pPr>
              <w:ind w:left="38" w:right="57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 xml:space="preserve">• 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>кредитная карта</w:t>
            </w:r>
          </w:p>
        </w:tc>
      </w:tr>
      <w:tr w:rsidR="00791392" w:rsidRPr="00791392" w14:paraId="6F1F4391" w14:textId="77777777" w:rsidTr="007B41C6">
        <w:trPr>
          <w:trHeight w:val="672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D0DBC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Целевая аудитория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490AF" w14:textId="77777777" w:rsidR="00791392" w:rsidRPr="00791392" w:rsidRDefault="00791392" w:rsidP="00791392">
            <w:pPr>
              <w:ind w:left="29" w:right="57"/>
              <w:jc w:val="both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• граждане Республики Узбекистан,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имеющие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доходы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от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результата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своей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деятельности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,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пенсию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и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иные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доходы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,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являющиеся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сотрудниками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Корпоративных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клиентов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,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работники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Банка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-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в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рамках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зарплатного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проекта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br/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ЧАКБ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«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Ориент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 w:hint="cs"/>
                <w:sz w:val="20"/>
                <w:szCs w:val="20"/>
              </w:rPr>
              <w:t>Финанс</w:t>
            </w:r>
            <w:r w:rsidRPr="00791392">
              <w:rPr>
                <w:rFonts w:ascii="Arial" w:eastAsia="TimesET" w:hAnsi="Arial" w:cs="Arial" w:hint="eastAsia"/>
                <w:sz w:val="20"/>
                <w:szCs w:val="20"/>
              </w:rPr>
              <w:t>»</w:t>
            </w:r>
          </w:p>
        </w:tc>
      </w:tr>
      <w:tr w:rsidR="00791392" w:rsidRPr="00791392" w14:paraId="7624B65D" w14:textId="77777777" w:rsidTr="007B41C6">
        <w:trPr>
          <w:trHeight w:val="672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00225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Кредитная история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F11A4" w14:textId="77777777" w:rsidR="00791392" w:rsidRPr="00791392" w:rsidRDefault="00791392" w:rsidP="00791392">
            <w:pPr>
              <w:numPr>
                <w:ilvl w:val="0"/>
                <w:numId w:val="1"/>
              </w:numPr>
              <w:tabs>
                <w:tab w:val="left" w:pos="148"/>
                <w:tab w:val="left" w:pos="192"/>
                <w:tab w:val="left" w:pos="5911"/>
              </w:tabs>
              <w:ind w:right="57"/>
              <w:contextualSpacing/>
              <w:jc w:val="both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19"/>
                <w:szCs w:val="19"/>
              </w:rPr>
              <w:t xml:space="preserve">Граждане Республики Узбекистан, не имеющие просроченную задолженность более 1 месяца. </w:t>
            </w:r>
            <w:r w:rsidRPr="00791392">
              <w:rPr>
                <w:rFonts w:ascii="Arial" w:eastAsia="TimesET" w:hAnsi="Arial" w:cs="Arial"/>
                <w:i/>
                <w:sz w:val="19"/>
                <w:szCs w:val="19"/>
              </w:rPr>
              <w:t>В случае если потенциальный Заёмщик ранее получал кредиты в кредитных организациях: Класс качестве актива – Стандартный, Субстандартный (статус договора Закрыт)</w:t>
            </w:r>
          </w:p>
        </w:tc>
      </w:tr>
      <w:tr w:rsidR="00791392" w:rsidRPr="00791392" w14:paraId="55EC9344" w14:textId="77777777" w:rsidTr="007B41C6">
        <w:trPr>
          <w:trHeight w:val="240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4FC4D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Срок кредитной карты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0132E" w14:textId="77777777" w:rsidR="00791392" w:rsidRPr="00791392" w:rsidRDefault="00791392" w:rsidP="00791392">
            <w:pPr>
              <w:ind w:left="29" w:right="57"/>
              <w:rPr>
                <w:rFonts w:ascii="Arial" w:eastAsia="TimesET" w:hAnsi="Arial" w:cs="Arial"/>
                <w:sz w:val="20"/>
                <w:szCs w:val="20"/>
                <w:lang w:val="en-US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 xml:space="preserve">• 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>до 36 месяцев</w:t>
            </w:r>
          </w:p>
        </w:tc>
      </w:tr>
      <w:tr w:rsidR="00791392" w:rsidRPr="00791392" w14:paraId="5BF8CBA5" w14:textId="77777777" w:rsidTr="007B41C6">
        <w:trPr>
          <w:trHeight w:val="889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A8373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Льготный период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1B443" w14:textId="77777777" w:rsidR="00791392" w:rsidRPr="00791392" w:rsidRDefault="00791392" w:rsidP="00791392">
            <w:pPr>
              <w:ind w:left="29" w:right="57"/>
              <w:jc w:val="both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• до 45 дней; </w:t>
            </w:r>
          </w:p>
          <w:p w14:paraId="4F9D2DF4" w14:textId="753529DB" w:rsidR="00791392" w:rsidRPr="00791392" w:rsidRDefault="00791392" w:rsidP="00791392">
            <w:pPr>
              <w:ind w:left="29" w:right="57"/>
              <w:jc w:val="both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>в течение данного периода заемщик освобождается от уплаты начисленных процентов за текущий месяц по кредиту, если использованные средства полностью погашены до даты завершения льготного периода;</w:t>
            </w:r>
          </w:p>
        </w:tc>
      </w:tr>
      <w:tr w:rsidR="00791392" w:rsidRPr="00791392" w14:paraId="44A04B41" w14:textId="77777777" w:rsidTr="007B41C6">
        <w:trPr>
          <w:trHeight w:val="340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96942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Максимальная сумма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7ED87" w14:textId="77777777" w:rsidR="00791392" w:rsidRPr="00791392" w:rsidRDefault="00791392" w:rsidP="00791392">
            <w:pPr>
              <w:ind w:left="29" w:right="57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>до</w:t>
            </w:r>
            <w:proofErr w:type="spellEnd"/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>млн.сум</w:t>
            </w:r>
            <w:proofErr w:type="spellEnd"/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>во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>зобновляемый</w:t>
            </w:r>
            <w:proofErr w:type="spellEnd"/>
          </w:p>
        </w:tc>
      </w:tr>
      <w:tr w:rsidR="00791392" w:rsidRPr="00791392" w14:paraId="47478080" w14:textId="77777777" w:rsidTr="007B41C6">
        <w:trPr>
          <w:trHeight w:val="236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3D614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 xml:space="preserve">Валюта 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89275" w14:textId="77777777" w:rsidR="00791392" w:rsidRPr="00791392" w:rsidRDefault="00791392" w:rsidP="00791392">
            <w:pPr>
              <w:ind w:left="29" w:right="57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19"/>
                <w:szCs w:val="19"/>
              </w:rPr>
              <w:t>Национальная валюта Республики Узбекистан - сум</w:t>
            </w:r>
            <w:r w:rsidRPr="00791392">
              <w:rPr>
                <w:rFonts w:ascii="Arial" w:eastAsia="TimesET" w:hAnsi="Arial" w:cs="Arial"/>
                <w:b/>
                <w:bCs/>
                <w:sz w:val="19"/>
                <w:szCs w:val="19"/>
              </w:rPr>
              <w:t>;</w:t>
            </w:r>
          </w:p>
        </w:tc>
      </w:tr>
      <w:tr w:rsidR="00791392" w:rsidRPr="00791392" w14:paraId="5D531040" w14:textId="77777777" w:rsidTr="007B41C6">
        <w:trPr>
          <w:trHeight w:val="1344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97ADB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Процентная ставка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ADA8E" w14:textId="77777777" w:rsidR="00791392" w:rsidRPr="00791392" w:rsidRDefault="00791392" w:rsidP="00791392">
            <w:pPr>
              <w:ind w:left="19" w:right="57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>• 34% годовых;</w:t>
            </w:r>
          </w:p>
          <w:p w14:paraId="6AEF5FDC" w14:textId="77777777" w:rsidR="00791392" w:rsidRPr="00791392" w:rsidRDefault="00791392" w:rsidP="00791392">
            <w:pPr>
              <w:spacing w:after="48" w:line="244" w:lineRule="auto"/>
              <w:ind w:left="19" w:right="10" w:firstLine="10"/>
              <w:jc w:val="both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>При этом при полном возврате кредитных средств, направленных на приобретение товаров и услуг, до 15 числа следующего месяца (дата платежа) проценты не начисляются.</w:t>
            </w:r>
          </w:p>
          <w:p w14:paraId="7C3D78DF" w14:textId="479F2794" w:rsidR="00791392" w:rsidRPr="00791392" w:rsidRDefault="00791392" w:rsidP="00791392">
            <w:pPr>
              <w:ind w:right="57" w:firstLine="29"/>
              <w:jc w:val="both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Ежемесячная </w:t>
            </w:r>
            <w:r w:rsidR="004B5918" w:rsidRPr="004B5918">
              <w:rPr>
                <w:rFonts w:ascii="Arial" w:eastAsia="TimesET" w:hAnsi="Arial" w:cs="Arial"/>
                <w:sz w:val="20"/>
                <w:szCs w:val="20"/>
                <w:highlight w:val="yellow"/>
              </w:rPr>
              <w:t>начисление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процентов рассчитывается в начале</w:t>
            </w:r>
            <w:r w:rsidR="002530D5">
              <w:rPr>
                <w:rFonts w:ascii="Arial" w:eastAsia="TimesET" w:hAnsi="Arial" w:cs="Arial"/>
                <w:sz w:val="20"/>
                <w:szCs w:val="20"/>
              </w:rPr>
              <w:t xml:space="preserve"> каждого </w:t>
            </w:r>
            <w:bookmarkStart w:id="0" w:name="_GoBack"/>
            <w:bookmarkEnd w:id="0"/>
            <w:r w:rsidRPr="00791392">
              <w:rPr>
                <w:rFonts w:ascii="Arial" w:eastAsia="TimesET" w:hAnsi="Arial" w:cs="Arial"/>
                <w:sz w:val="20"/>
                <w:szCs w:val="20"/>
              </w:rPr>
              <w:t>1-го рабочего дня следующего</w:t>
            </w:r>
            <w:r w:rsidR="004B5918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="004B5918" w:rsidRPr="004B5918">
              <w:rPr>
                <w:rFonts w:ascii="Arial" w:eastAsia="TimesET" w:hAnsi="Arial" w:cs="Arial"/>
                <w:sz w:val="20"/>
                <w:szCs w:val="20"/>
                <w:highlight w:val="yellow"/>
              </w:rPr>
              <w:t>за отчетным</w:t>
            </w:r>
            <w:r w:rsidR="004B5918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>месяц</w:t>
            </w:r>
            <w:r w:rsidR="004B5918">
              <w:rPr>
                <w:rFonts w:ascii="Arial" w:eastAsia="TimesET" w:hAnsi="Arial" w:cs="Arial"/>
                <w:sz w:val="20"/>
                <w:szCs w:val="20"/>
              </w:rPr>
              <w:t>ем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и должна быть погашена к дате платежа.</w:t>
            </w:r>
          </w:p>
        </w:tc>
      </w:tr>
      <w:tr w:rsidR="00791392" w:rsidRPr="00791392" w14:paraId="69C930D8" w14:textId="77777777" w:rsidTr="007B41C6">
        <w:trPr>
          <w:trHeight w:val="436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35039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 xml:space="preserve">Размер процентной ставки на п ос </w:t>
            </w:r>
            <w:proofErr w:type="spellStart"/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оченный</w:t>
            </w:r>
            <w:proofErr w:type="spellEnd"/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 xml:space="preserve"> основной </w:t>
            </w:r>
            <w:proofErr w:type="spellStart"/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олг</w:t>
            </w:r>
            <w:proofErr w:type="spellEnd"/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986E7" w14:textId="77777777" w:rsidR="00791392" w:rsidRPr="00791392" w:rsidRDefault="00791392" w:rsidP="00791392">
            <w:pPr>
              <w:ind w:left="19" w:right="57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>• в 1,5 кратном размере основной процентной ставки (51 % годовых)</w:t>
            </w:r>
          </w:p>
        </w:tc>
      </w:tr>
      <w:tr w:rsidR="00791392" w:rsidRPr="00791392" w14:paraId="2B9EE666" w14:textId="77777777" w:rsidTr="007B41C6">
        <w:trPr>
          <w:trHeight w:val="1110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3C202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Минимальный платеж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6A404" w14:textId="0DAB6F30" w:rsidR="00791392" w:rsidRPr="00791392" w:rsidRDefault="00791392" w:rsidP="00791392">
            <w:pPr>
              <w:ind w:left="10" w:right="10" w:firstLine="10"/>
              <w:jc w:val="both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• </w:t>
            </w:r>
            <w:r w:rsidR="004B5918">
              <w:rPr>
                <w:rFonts w:ascii="Arial" w:eastAsia="TimesET" w:hAnsi="Arial" w:cs="Arial"/>
                <w:sz w:val="20"/>
                <w:szCs w:val="20"/>
              </w:rPr>
              <w:t>Минимальная сумма</w:t>
            </w:r>
            <w:r w:rsidR="002530D5" w:rsidRPr="002530D5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="002530D5" w:rsidRPr="002530D5">
              <w:rPr>
                <w:rFonts w:ascii="Arial" w:eastAsia="TimesET" w:hAnsi="Arial" w:cs="Arial"/>
                <w:sz w:val="20"/>
                <w:szCs w:val="20"/>
                <w:highlight w:val="yellow"/>
              </w:rPr>
              <w:t>платежа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>, выставляемая Заемщику 1-го числа</w:t>
            </w:r>
            <w:r w:rsidR="002530D5" w:rsidRPr="002530D5">
              <w:rPr>
                <w:rFonts w:ascii="Arial" w:eastAsia="TimesET" w:hAnsi="Arial" w:cs="Arial"/>
                <w:sz w:val="20"/>
                <w:szCs w:val="20"/>
              </w:rPr>
              <w:t xml:space="preserve"> </w:t>
            </w:r>
            <w:r w:rsidR="002530D5" w:rsidRPr="002530D5">
              <w:rPr>
                <w:rFonts w:ascii="Arial" w:eastAsia="TimesET" w:hAnsi="Arial" w:cs="Arial"/>
                <w:sz w:val="20"/>
                <w:szCs w:val="20"/>
                <w:highlight w:val="yellow"/>
              </w:rPr>
              <w:t>каждого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 месяца, составляет 5% от текущего кредитного остатка, установленного на последний день предыдущего месяца, включая начисленные проценты за фактический период использования (за исключением первого минимального платежа, по которому проценты будут включены во второй минимальный платеж</w:t>
            </w:r>
            <w:r w:rsidR="004B5918">
              <w:rPr>
                <w:rFonts w:ascii="Arial" w:eastAsia="TimesET" w:hAnsi="Arial" w:cs="Arial"/>
                <w:sz w:val="20"/>
                <w:szCs w:val="20"/>
              </w:rPr>
              <w:t>).</w:t>
            </w:r>
          </w:p>
        </w:tc>
      </w:tr>
      <w:tr w:rsidR="00791392" w:rsidRPr="00791392" w14:paraId="72271CF0" w14:textId="77777777" w:rsidTr="007B41C6">
        <w:trPr>
          <w:trHeight w:val="695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9B2B2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Комиссии за оплату товаров и услуг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90FC2" w14:textId="77777777" w:rsidR="00791392" w:rsidRPr="00791392" w:rsidRDefault="00791392" w:rsidP="00791392">
            <w:pPr>
              <w:numPr>
                <w:ilvl w:val="0"/>
                <w:numId w:val="2"/>
              </w:numPr>
              <w:ind w:left="255" w:right="57" w:hanging="255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>На территории Республики Узбекистан – 0%</w:t>
            </w:r>
          </w:p>
          <w:p w14:paraId="4CEE6F0D" w14:textId="77777777" w:rsidR="00791392" w:rsidRPr="00791392" w:rsidRDefault="00791392" w:rsidP="00791392">
            <w:pPr>
              <w:ind w:left="20" w:right="57" w:hanging="10"/>
              <w:jc w:val="both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• За пределами Республики Узбекистан – 0,5% от суммы операции, но не менее 10 </w:t>
            </w:r>
            <w:proofErr w:type="spellStart"/>
            <w:proofErr w:type="gramStart"/>
            <w:r w:rsidRPr="00791392">
              <w:rPr>
                <w:rFonts w:ascii="Arial" w:eastAsia="TimesET" w:hAnsi="Arial" w:cs="Arial"/>
                <w:sz w:val="20"/>
                <w:szCs w:val="20"/>
              </w:rPr>
              <w:t>тыс.сум</w:t>
            </w:r>
            <w:proofErr w:type="spellEnd"/>
            <w:proofErr w:type="gramEnd"/>
          </w:p>
        </w:tc>
      </w:tr>
      <w:tr w:rsidR="00791392" w:rsidRPr="00791392" w14:paraId="67F317DE" w14:textId="77777777" w:rsidTr="007B41C6">
        <w:trPr>
          <w:trHeight w:val="912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E0D82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Снятие наличных из кредитных средств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92AD7" w14:textId="77777777" w:rsidR="00791392" w:rsidRPr="00791392" w:rsidRDefault="00791392" w:rsidP="00791392">
            <w:pPr>
              <w:numPr>
                <w:ilvl w:val="0"/>
                <w:numId w:val="3"/>
              </w:numPr>
              <w:tabs>
                <w:tab w:val="left" w:pos="255"/>
              </w:tabs>
              <w:ind w:right="57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4% от суммы операции, но не менее 30,0 </w:t>
            </w:r>
            <w:proofErr w:type="spellStart"/>
            <w:proofErr w:type="gramStart"/>
            <w:r w:rsidRPr="00791392">
              <w:rPr>
                <w:rFonts w:ascii="Arial" w:eastAsia="TimesET" w:hAnsi="Arial" w:cs="Arial"/>
                <w:sz w:val="20"/>
                <w:szCs w:val="20"/>
              </w:rPr>
              <w:t>тыс.сум</w:t>
            </w:r>
            <w:proofErr w:type="spellEnd"/>
            <w:proofErr w:type="gramEnd"/>
            <w:r w:rsidRPr="00791392">
              <w:rPr>
                <w:rFonts w:ascii="Arial" w:eastAsia="TimesET" w:hAnsi="Arial" w:cs="Arial"/>
                <w:sz w:val="20"/>
                <w:szCs w:val="20"/>
              </w:rPr>
              <w:t>.</w:t>
            </w:r>
          </w:p>
          <w:p w14:paraId="71DD422F" w14:textId="77777777" w:rsidR="00791392" w:rsidRPr="00791392" w:rsidRDefault="00791392" w:rsidP="00791392">
            <w:pPr>
              <w:numPr>
                <w:ilvl w:val="0"/>
                <w:numId w:val="3"/>
              </w:numPr>
              <w:tabs>
                <w:tab w:val="left" w:pos="255"/>
              </w:tabs>
              <w:ind w:right="57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>Не действует льготный период и будут начислены проценты</w:t>
            </w:r>
          </w:p>
          <w:p w14:paraId="5040FB3C" w14:textId="77777777" w:rsidR="00791392" w:rsidRPr="00791392" w:rsidRDefault="00791392" w:rsidP="00791392">
            <w:pPr>
              <w:numPr>
                <w:ilvl w:val="0"/>
                <w:numId w:val="3"/>
              </w:numPr>
              <w:tabs>
                <w:tab w:val="left" w:pos="255"/>
              </w:tabs>
              <w:ind w:right="57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>Банком-владельцем банкомата может взиматься дополнительная комиссия, которая указывается в момент снятия наличных на экране банкомата</w:t>
            </w:r>
          </w:p>
        </w:tc>
      </w:tr>
      <w:tr w:rsidR="00791392" w:rsidRPr="00791392" w14:paraId="72295447" w14:textId="77777777" w:rsidTr="007B41C6">
        <w:trPr>
          <w:trHeight w:val="908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78F24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Переводы с карты на карту из кредитных средств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B3CB6" w14:textId="77777777" w:rsidR="00791392" w:rsidRPr="00791392" w:rsidRDefault="00791392" w:rsidP="00791392">
            <w:pPr>
              <w:numPr>
                <w:ilvl w:val="0"/>
                <w:numId w:val="4"/>
              </w:numPr>
              <w:ind w:right="57" w:hanging="163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4% от суммы операции, но не менее 30,0 </w:t>
            </w:r>
            <w:proofErr w:type="spellStart"/>
            <w:proofErr w:type="gramStart"/>
            <w:r w:rsidRPr="00791392">
              <w:rPr>
                <w:rFonts w:ascii="Arial" w:eastAsia="TimesET" w:hAnsi="Arial" w:cs="Arial"/>
                <w:sz w:val="20"/>
                <w:szCs w:val="20"/>
              </w:rPr>
              <w:t>тыс.сум</w:t>
            </w:r>
            <w:proofErr w:type="spellEnd"/>
            <w:proofErr w:type="gramEnd"/>
            <w:r w:rsidRPr="00791392">
              <w:rPr>
                <w:rFonts w:ascii="Arial" w:eastAsia="TimesET" w:hAnsi="Arial" w:cs="Arial"/>
                <w:sz w:val="20"/>
                <w:szCs w:val="20"/>
              </w:rPr>
              <w:t>.</w:t>
            </w:r>
          </w:p>
          <w:p w14:paraId="4E04C37F" w14:textId="77777777" w:rsidR="00791392" w:rsidRPr="00791392" w:rsidRDefault="00791392" w:rsidP="00791392">
            <w:pPr>
              <w:numPr>
                <w:ilvl w:val="0"/>
                <w:numId w:val="4"/>
              </w:numPr>
              <w:ind w:right="57" w:hanging="163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>Не действует льготный период и будут начислены проценты.</w:t>
            </w:r>
          </w:p>
          <w:p w14:paraId="27CCAD83" w14:textId="77777777" w:rsidR="00791392" w:rsidRPr="00791392" w:rsidRDefault="00791392" w:rsidP="00791392">
            <w:pPr>
              <w:numPr>
                <w:ilvl w:val="0"/>
                <w:numId w:val="4"/>
              </w:numPr>
              <w:ind w:right="57" w:hanging="163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В приложении может взиматься дополнительная комиссия, которая указывается в момент перевода денежных средств </w:t>
            </w:r>
          </w:p>
        </w:tc>
      </w:tr>
      <w:tr w:rsidR="00791392" w:rsidRPr="00791392" w14:paraId="13033159" w14:textId="77777777" w:rsidTr="007B41C6">
        <w:trPr>
          <w:trHeight w:val="455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311E4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Дата погашения использованного лимита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23976" w14:textId="77777777" w:rsidR="00791392" w:rsidRPr="00791392" w:rsidRDefault="00791392" w:rsidP="00791392">
            <w:pPr>
              <w:ind w:left="10" w:right="57"/>
              <w:jc w:val="both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>• С 1-го до 15 числа каждого месяца, следующего за месяцем, в котором Заемщик осуществлял траты</w:t>
            </w:r>
          </w:p>
        </w:tc>
      </w:tr>
      <w:tr w:rsidR="00791392" w:rsidRPr="00791392" w14:paraId="3742B295" w14:textId="77777777" w:rsidTr="007B41C6">
        <w:trPr>
          <w:trHeight w:val="553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8CFC3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Обеспечения кредитной карты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76108" w14:textId="77777777" w:rsidR="00791392" w:rsidRPr="00791392" w:rsidRDefault="00791392" w:rsidP="00791392">
            <w:pPr>
              <w:numPr>
                <w:ilvl w:val="0"/>
                <w:numId w:val="5"/>
              </w:numPr>
              <w:ind w:right="57" w:hanging="163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>Полис страховой компании от риска невозврата кредитной карты:</w:t>
            </w:r>
          </w:p>
          <w:p w14:paraId="757226AD" w14:textId="77777777" w:rsidR="00791392" w:rsidRPr="00791392" w:rsidRDefault="00791392" w:rsidP="00791392">
            <w:pPr>
              <w:numPr>
                <w:ilvl w:val="0"/>
                <w:numId w:val="5"/>
              </w:numPr>
              <w:ind w:right="57" w:hanging="163"/>
              <w:rPr>
                <w:rFonts w:ascii="Arial" w:eastAsia="TimesET" w:hAnsi="Arial" w:cs="Arial"/>
                <w:sz w:val="20"/>
                <w:szCs w:val="20"/>
                <w:lang w:val="en-US"/>
              </w:rPr>
            </w:pPr>
            <w:proofErr w:type="spellStart"/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>Поручительство</w:t>
            </w:r>
            <w:proofErr w:type="spellEnd"/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>физических</w:t>
            </w:r>
            <w:proofErr w:type="spellEnd"/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>лиц</w:t>
            </w:r>
            <w:proofErr w:type="spellEnd"/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791392" w:rsidRPr="00791392" w14:paraId="3C3177B9" w14:textId="77777777" w:rsidTr="007B41C6">
        <w:trPr>
          <w:trHeight w:val="445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9E229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Требования к размеру обеспечения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6052E" w14:textId="77777777" w:rsidR="00791392" w:rsidRPr="00791392" w:rsidRDefault="00791392" w:rsidP="00791392">
            <w:pPr>
              <w:ind w:left="10" w:right="57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>• Не менее 125%/130% от суммы микрозайма;</w:t>
            </w:r>
          </w:p>
        </w:tc>
      </w:tr>
      <w:tr w:rsidR="00791392" w:rsidRPr="00791392" w14:paraId="0FB690E1" w14:textId="77777777" w:rsidTr="007B41C6">
        <w:trPr>
          <w:trHeight w:val="659"/>
        </w:trPr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ACF05" w14:textId="77777777" w:rsidR="00791392" w:rsidRPr="00791392" w:rsidRDefault="00791392" w:rsidP="00791392">
            <w:pPr>
              <w:ind w:left="110" w:right="57"/>
              <w:rPr>
                <w:rFonts w:ascii="Arial" w:eastAsia="TimesET" w:hAnsi="Arial" w:cs="Arial"/>
                <w:b/>
                <w:sz w:val="19"/>
                <w:szCs w:val="19"/>
              </w:rPr>
            </w:pPr>
            <w:r w:rsidRPr="00791392">
              <w:rPr>
                <w:rFonts w:ascii="Arial" w:eastAsia="TimesET" w:hAnsi="Arial" w:cs="Arial"/>
                <w:b/>
                <w:sz w:val="19"/>
                <w:szCs w:val="19"/>
              </w:rPr>
              <w:t>Документы, предоставляемые для получения кредитной карты</w:t>
            </w:r>
          </w:p>
        </w:tc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4D25A" w14:textId="77777777" w:rsidR="00791392" w:rsidRPr="00791392" w:rsidRDefault="00791392" w:rsidP="00791392">
            <w:pPr>
              <w:ind w:right="57"/>
              <w:rPr>
                <w:rFonts w:ascii="Arial" w:eastAsia="TimesET" w:hAnsi="Arial" w:cs="Arial"/>
                <w:sz w:val="20"/>
                <w:szCs w:val="20"/>
              </w:rPr>
            </w:pPr>
            <w:r w:rsidRPr="00791392">
              <w:rPr>
                <w:rFonts w:ascii="Arial" w:eastAsia="TimesET" w:hAnsi="Arial" w:cs="Arial"/>
                <w:sz w:val="20"/>
                <w:szCs w:val="20"/>
              </w:rPr>
              <w:t xml:space="preserve">• Паспорт или идентификационная </w:t>
            </w:r>
            <w:r w:rsidRPr="00791392">
              <w:rPr>
                <w:rFonts w:ascii="Arial" w:eastAsia="TimesET" w:hAnsi="Arial" w:cs="Arial"/>
                <w:sz w:val="20"/>
                <w:szCs w:val="20"/>
                <w:lang w:val="en-US"/>
              </w:rPr>
              <w:t>ID</w:t>
            </w:r>
            <w:r w:rsidRPr="00791392">
              <w:rPr>
                <w:rFonts w:ascii="Arial" w:eastAsia="TimesET" w:hAnsi="Arial" w:cs="Arial"/>
                <w:sz w:val="20"/>
                <w:szCs w:val="20"/>
              </w:rPr>
              <w:t>-карта:</w:t>
            </w:r>
          </w:p>
        </w:tc>
      </w:tr>
    </w:tbl>
    <w:p w14:paraId="6F9F5400" w14:textId="77777777" w:rsidR="00F12BEC" w:rsidRPr="00791392" w:rsidRDefault="00F12BEC" w:rsidP="00791392">
      <w:pPr>
        <w:jc w:val="center"/>
      </w:pPr>
    </w:p>
    <w:sectPr w:rsidR="00F12BEC" w:rsidRPr="00791392" w:rsidSect="00791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587A"/>
    <w:multiLevelType w:val="hybridMultilevel"/>
    <w:tmpl w:val="F4DAED04"/>
    <w:lvl w:ilvl="0" w:tplc="34A40120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40F7B4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3AF316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2E86BB6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822CD00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71CFD40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3C22A34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B30300E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1EA4F4C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D0F66"/>
    <w:multiLevelType w:val="hybridMultilevel"/>
    <w:tmpl w:val="69D6A100"/>
    <w:lvl w:ilvl="0" w:tplc="0EB2105E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color w:val="auto"/>
        <w:lang w:val="ru-RU"/>
      </w:rPr>
    </w:lvl>
    <w:lvl w:ilvl="1" w:tplc="DE9A734A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2FA6430"/>
    <w:multiLevelType w:val="hybridMultilevel"/>
    <w:tmpl w:val="95FA33CE"/>
    <w:lvl w:ilvl="0" w:tplc="AE7E9044">
      <w:start w:val="1"/>
      <w:numFmt w:val="bullet"/>
      <w:lvlText w:val="•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B41080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90BE52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1AEF24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8CBA30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4E27D0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680F46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9ACE58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A18DE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571C94"/>
    <w:multiLevelType w:val="hybridMultilevel"/>
    <w:tmpl w:val="2CF64988"/>
    <w:lvl w:ilvl="0" w:tplc="6D5E1AB2">
      <w:start w:val="1"/>
      <w:numFmt w:val="bullet"/>
      <w:lvlText w:val="•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6C884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422D28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4A1F86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C03770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E2898E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CA8396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C68A14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369C56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EC5F5F"/>
    <w:multiLevelType w:val="hybridMultilevel"/>
    <w:tmpl w:val="654A5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5"/>
        </w:tabs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5"/>
        </w:tabs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92"/>
    <w:rsid w:val="002530D5"/>
    <w:rsid w:val="00367BD6"/>
    <w:rsid w:val="004B5918"/>
    <w:rsid w:val="00791392"/>
    <w:rsid w:val="00A277A7"/>
    <w:rsid w:val="00F1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F909"/>
  <w15:chartTrackingRefBased/>
  <w15:docId w15:val="{A9B95502-CC1B-437B-B367-3009FB0D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3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3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3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3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3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3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13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13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13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1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13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139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91392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Ясмина Ходжиева</dc:creator>
  <cp:keywords/>
  <dc:description/>
  <cp:lastModifiedBy>Надежда Буйлова</cp:lastModifiedBy>
  <cp:revision>2</cp:revision>
  <cp:lastPrinted>2026-05-12T12:18:00Z</cp:lastPrinted>
  <dcterms:created xsi:type="dcterms:W3CDTF">2026-05-12T12:40:00Z</dcterms:created>
  <dcterms:modified xsi:type="dcterms:W3CDTF">2026-05-12T12:40:00Z</dcterms:modified>
</cp:coreProperties>
</file>