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D9E1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5E29760F" w14:textId="77777777" w:rsidR="00120A65" w:rsidRDefault="00120A65" w:rsidP="000F1C8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bookmarkStart w:id="0" w:name="_Hlk212198574"/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43C74E9B" w14:textId="77777777" w:rsidR="00120A65" w:rsidRDefault="00120A65" w:rsidP="000F1C8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DD6A0E4" w14:textId="77777777" w:rsidR="00120A65" w:rsidRDefault="00120A65" w:rsidP="000F1C8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53DAAC77" w14:textId="501F5A43" w:rsidR="000F1C8A" w:rsidRPr="00120A65" w:rsidRDefault="00120A65" w:rsidP="000F1C8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с потребителями банковских услуг</w:t>
      </w:r>
      <w:r w:rsidR="000F1C8A" w:rsidRPr="00120A65">
        <w:rPr>
          <w:rFonts w:eastAsia="Times New Roman"/>
          <w:color w:val="000080"/>
          <w:sz w:val="16"/>
          <w:szCs w:val="16"/>
        </w:rPr>
        <w:t xml:space="preserve"> </w:t>
      </w:r>
    </w:p>
    <w:p w14:paraId="6048E8E8" w14:textId="03CAF839" w:rsidR="00120A65" w:rsidRPr="00120A65" w:rsidRDefault="00120A65" w:rsidP="00120A65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1AFD371C" w14:textId="66649705" w:rsidR="00AF5F2A" w:rsidRPr="00120A65" w:rsidRDefault="00120A65" w:rsidP="00120A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bookmarkEnd w:id="0"/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234"/>
        <w:gridCol w:w="109"/>
        <w:gridCol w:w="212"/>
        <w:gridCol w:w="66"/>
        <w:gridCol w:w="582"/>
        <w:gridCol w:w="66"/>
        <w:gridCol w:w="561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453"/>
      </w:tblGrid>
      <w:tr w:rsidR="00737545" w14:paraId="07FDDE47" w14:textId="77777777" w:rsidTr="00F732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37F71F" w14:textId="77777777" w:rsidR="00AF5F2A" w:rsidRDefault="00AF5F2A" w:rsidP="003D2236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106B2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EC949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C0B6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1EB6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53DF0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FB58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03FF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77E87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1E8E4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44FA3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408B5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2F582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54F92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E8119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F8547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CDCA9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E2B59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5E13F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FB81A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B6961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89F4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F29C1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5AF48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638E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52117E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5CAA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EBD47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1A4E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5F1D9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8C4DFA" w14:paraId="5B363A22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50FC7" w14:textId="4C977D74" w:rsidR="00357CDB" w:rsidRPr="00120A65" w:rsidRDefault="00357CDB" w:rsidP="003D22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коммерческого банка</w:t>
            </w:r>
          </w:p>
          <w:p w14:paraId="417B11CC" w14:textId="245FD977" w:rsidR="00357CDB" w:rsidRPr="00120A65" w:rsidRDefault="00357CDB" w:rsidP="003D22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Официальный веб-сайт</w:t>
            </w:r>
          </w:p>
          <w:p w14:paraId="2966840C" w14:textId="2FF62743" w:rsidR="00AF5F2A" w:rsidRPr="00AF5F2A" w:rsidRDefault="00357CDB" w:rsidP="003D223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120A65"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="00120A65"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0A65"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E47808" w14:textId="309DD801" w:rsidR="00357CDB" w:rsidRPr="00357CDB" w:rsidRDefault="00120A65" w:rsidP="008B71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="00357CDB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="00357CDB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="00357CDB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43DDA32C" w14:textId="77777777" w:rsidR="00357CDB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28C9A7C7" w14:textId="1F719C7D" w:rsidR="00AF5F2A" w:rsidRPr="008B715C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09BEFCE3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611712" w14:textId="22FBD18E" w:rsidR="00AF5F2A" w:rsidRPr="008B715C" w:rsidRDefault="00120A65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8B715C" w14:paraId="1F2C72B1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F840CA" w14:textId="578A9068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DA8BA8" w14:textId="77777777" w:rsidR="00AF5F2A" w:rsidRPr="00B74A41" w:rsidRDefault="00B74A41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proofErr w:type="spellStart"/>
            <w:r w:rsidR="00A37E77" w:rsidRPr="00A37E77">
              <w:rPr>
                <w:rFonts w:eastAsia="Times New Roman"/>
                <w:color w:val="000000"/>
                <w:sz w:val="20"/>
                <w:szCs w:val="20"/>
              </w:rPr>
              <w:t>Bright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8B715C" w14:paraId="391EDD0C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38AECB" w14:textId="12E343C2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9667F5" w14:textId="23985349" w:rsidR="00AF5F2A" w:rsidRPr="006C16AD" w:rsidRDefault="00120A6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8B715C" w:rsidRPr="008B715C" w14:paraId="3CBFCD20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12F44A" w14:textId="70602AA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2C068" w14:textId="77777777" w:rsidR="006C16AD" w:rsidRPr="000F1C8A" w:rsidRDefault="006C16AD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00C23A3" w14:textId="77777777" w:rsidR="00AF5F2A" w:rsidRPr="008B715C" w:rsidRDefault="00A37E77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  <w:r w:rsidR="008B715C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8B715C" w14:paraId="28498D78" w14:textId="77777777" w:rsidTr="00F732C3">
        <w:trPr>
          <w:trHeight w:val="635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2D2536" w14:textId="1E1A785F" w:rsidR="00AF5F2A" w:rsidRPr="00120A65" w:rsidRDefault="00AF5F2A" w:rsidP="003D2236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71A3CD" w14:textId="77777777" w:rsidR="000F1C8A" w:rsidRDefault="000F1C8A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FF94143" w14:textId="17E31467" w:rsidR="00AF5F2A" w:rsidRPr="008B715C" w:rsidRDefault="00120A6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B715C" w14:paraId="4A5612C1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C4FE2D" w14:textId="1C1A33B1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57C610" w14:textId="7E92629B" w:rsidR="00AF5F2A" w:rsidRPr="008B715C" w:rsidRDefault="00A37E77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37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0 </w:t>
            </w:r>
            <w:proofErr w:type="spellStart"/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  <w:proofErr w:type="spellEnd"/>
          </w:p>
        </w:tc>
      </w:tr>
      <w:tr w:rsidR="008B715C" w:rsidRPr="00AF5F2A" w14:paraId="72271F11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1A3FC4" w14:textId="3BDB70EA" w:rsidR="00AF5F2A" w:rsidRPr="00CB5285" w:rsidRDefault="00AF5F2A" w:rsidP="003D22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Минимальная сумма вклада (при наличии)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0D3140" w14:textId="70D707E4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1 000,00 </w:t>
            </w:r>
            <w:proofErr w:type="spellStart"/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</w:t>
            </w:r>
            <w:proofErr w:type="spellEnd"/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8B715C" w:rsidRPr="00CB5285" w14:paraId="26B96231" w14:textId="77777777" w:rsidTr="00F732C3">
        <w:trPr>
          <w:trHeight w:val="315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DFBF91" w14:textId="4CA5C0FF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C514BC" w14:textId="62208E2E" w:rsidR="00AF5F2A" w:rsidRPr="00CB5285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8B715C" w:rsidRPr="00AF5F2A" w14:paraId="3B40975F" w14:textId="77777777" w:rsidTr="00F732C3">
        <w:trPr>
          <w:trHeight w:val="661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F8A8E0" w14:textId="2E7D220E" w:rsidR="00AF5F2A" w:rsidRPr="00CB5285" w:rsidRDefault="00AF5F2A" w:rsidP="003D22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8.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Способ оформления вклада (онлайн или при посещении банка)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4C3D66" w14:textId="77777777" w:rsidR="000F1C8A" w:rsidRPr="00CB5285" w:rsidRDefault="000F1C8A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E736042" w14:textId="471D0EFE" w:rsidR="00AF5F2A" w:rsidRPr="008B715C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</w:t>
            </w:r>
            <w:proofErr w:type="spellEnd"/>
          </w:p>
        </w:tc>
      </w:tr>
      <w:tr w:rsidR="008B715C" w:rsidRPr="00114AD6" w14:paraId="3D5BA73F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BF7B8" w14:textId="2418BD7F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5B3060" w14:textId="0F5F9F9D" w:rsidR="00AF5F2A" w:rsidRPr="00114AD6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B715C" w:rsidRPr="00AF5F2A" w14:paraId="25F8B460" w14:textId="77777777" w:rsidTr="00F732C3">
        <w:trPr>
          <w:trHeight w:val="734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2BE399" w14:textId="1A4E4CE4" w:rsidR="00AF5F2A" w:rsidRPr="00CB5285" w:rsidRDefault="00AF5F2A" w:rsidP="003D22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2AEE2" w14:textId="77777777" w:rsidR="008B2B4B" w:rsidRPr="00CB5285" w:rsidRDefault="008B2B4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EC7118A" w14:textId="18846148" w:rsidR="00AF5F2A" w:rsidRPr="008B715C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B715C" w:rsidRPr="00114AD6" w14:paraId="511335D9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2C958D" w14:textId="0B9C9DF1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72116C" w14:textId="02082EE1" w:rsidR="00AF5F2A" w:rsidRPr="00114AD6" w:rsidRDefault="000F1C8A" w:rsidP="000F1C8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Прием денежных средств во вклад осуществляется наличными, посредством банковской карты либо путем перерегистрации другого вклада с истекшим сроком. Возврат суммы вклада производится в валюте вклада (наличными или на банковскую карту) по окончании срока, в соответствии с условиями оформления. В случае если сумма вклада не востребована по истечении срока, она переводится на счет по вкладам до востребования до момента ее востребования вкладчиком.</w:t>
            </w:r>
          </w:p>
        </w:tc>
      </w:tr>
      <w:tr w:rsidR="00AF5F2A" w14:paraId="192FCB1F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05A8F6" w14:textId="66FAD491" w:rsidR="00AF5F2A" w:rsidRPr="008B715C" w:rsidRDefault="00CB5285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8B715C" w14:paraId="42922FE0" w14:textId="77777777" w:rsidTr="00F732C3">
        <w:trPr>
          <w:trHeight w:val="577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90315D" w14:textId="687F2488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3C47E7"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DE0D77" w14:textId="77777777" w:rsidR="00383C25" w:rsidRDefault="00383C2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BC2931B" w14:textId="6346C0D9" w:rsidR="00AF5F2A" w:rsidRPr="008B715C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B715C" w:rsidRPr="003C47E7" w14:paraId="71441D0D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37FA2" w14:textId="453E7EC1" w:rsidR="00AF5F2A" w:rsidRPr="003C47E7" w:rsidRDefault="00AF5F2A" w:rsidP="003D2236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3C47E7" w:rsidRPr="003C47E7">
              <w:rPr>
                <w:rFonts w:eastAsia="Times New Roman"/>
                <w:color w:val="000000"/>
                <w:sz w:val="20"/>
                <w:szCs w:val="20"/>
              </w:rPr>
              <w:t>Порядок досрочного расторжения договора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847333" w14:textId="34207E35" w:rsidR="00AF5F2A" w:rsidRPr="003C47E7" w:rsidRDefault="000F1C8A" w:rsidP="000F1C8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3C47E7" w:rsidRPr="003C47E7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проценты по вкладу не выплачиваются; ранее выплаченные проценты пересчитываются и удерживаются из основной суммы вклада.</w:t>
            </w:r>
          </w:p>
        </w:tc>
      </w:tr>
      <w:tr w:rsidR="00AF5F2A" w:rsidRPr="003C47E7" w14:paraId="02CCE081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1B7E65" w14:textId="77777777" w:rsidR="00AF5F2A" w:rsidRPr="003C47E7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5F2A" w:rsidRPr="003C47E7" w14:paraId="4DB525EC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D795A" w14:textId="6974EC7A" w:rsidR="00AF5F2A" w:rsidRPr="003C47E7" w:rsidRDefault="003C47E7" w:rsidP="008B715C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Hlk212198535"/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AF5F2A" w:rsidRPr="003C47E7" w14:paraId="7F86779C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7CB05B" w14:textId="77D200AD" w:rsidR="00AF5F2A" w:rsidRPr="003C47E7" w:rsidRDefault="003C47E7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AF5F2A" w:rsidRPr="003C47E7" w14:paraId="0BB501E7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A792BB" w14:textId="098A10C8" w:rsidR="00AF5F2A" w:rsidRPr="003C47E7" w:rsidRDefault="003C47E7" w:rsidP="008B71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8B715C" w:rsidRPr="003C47E7" w14:paraId="2F1C051A" w14:textId="77777777" w:rsidTr="00F732C3">
        <w:tc>
          <w:tcPr>
            <w:tcW w:w="249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6B8F6" w14:textId="1DFA2C17" w:rsidR="00AF5F2A" w:rsidRPr="003C47E7" w:rsidRDefault="003C47E7" w:rsidP="003D2236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</w:t>
            </w:r>
            <w:r w:rsidR="00AF5F2A" w:rsidRPr="003C47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AF5F2A" w:rsidRPr="003C47E7">
              <w:rPr>
                <w:rFonts w:eastAsia="Times New Roman"/>
                <w:color w:val="000000"/>
              </w:rPr>
              <w:t xml:space="preserve"> </w:t>
            </w:r>
            <w:r w:rsidR="00114AD6"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C27822" w14:textId="77777777" w:rsidR="00AF5F2A" w:rsidRPr="003C47E7" w:rsidRDefault="00AF5F2A" w:rsidP="003D223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875DC3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24B829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B9F12F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666E51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A2F5E4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BFE4D9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B3B70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E41307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BAB722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1040AF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8E4F4B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4C24C" w14:textId="77777777" w:rsidR="00AF5F2A" w:rsidRPr="003C47E7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1E8D1D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187185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C7C8F1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74A648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14:paraId="656295F5" w14:textId="77777777" w:rsidTr="00F732C3"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C947B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90AF3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85E51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B1A062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114AD6" w14:paraId="0213DAF3" w14:textId="77777777" w:rsidTr="00F732C3">
        <w:tc>
          <w:tcPr>
            <w:tcW w:w="0" w:type="auto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1FC75A" w14:textId="53ADDB7D" w:rsidR="00114AD6" w:rsidRPr="00F732C3" w:rsidRDefault="00114AD6" w:rsidP="003D2236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</w:t>
            </w:r>
            <w:r w:rsidR="00F732C3" w:rsidRPr="00F732C3">
              <w:rPr>
                <w:rStyle w:val="a4"/>
                <w:color w:val="000000"/>
                <w:sz w:val="20"/>
                <w:szCs w:val="20"/>
              </w:rPr>
              <w:t>Ф.И.О. и должность сотрудника банка</w:t>
            </w:r>
            <w:r w:rsidRPr="00F732C3">
              <w:rPr>
                <w:rStyle w:val="a4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F7806" w14:textId="77777777" w:rsidR="00114AD6" w:rsidRPr="00F732C3" w:rsidRDefault="00114AD6" w:rsidP="003D223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1C5E18" w14:textId="77777777" w:rsidR="00114AD6" w:rsidRPr="00F732C3" w:rsidRDefault="00114AD6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525F03" w14:textId="0AB3AF4C" w:rsidR="00114AD6" w:rsidRDefault="00114AD6" w:rsidP="003D2236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="00F732C3"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737545" w14:paraId="445D49DC" w14:textId="77777777" w:rsidTr="00F732C3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C34A8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0E39D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CDCB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F41C7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F52AF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7D49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73C77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B78B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6035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FAADF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EFA9F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C05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7ACD7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29B58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6180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753E9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EE92D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847BE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931EE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1605E6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ED0AF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C996D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ACA76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9EC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3CB3A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C52ACC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0783D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599DA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01111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FA676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7545" w14:paraId="3854D0A6" w14:textId="77777777" w:rsidTr="00F732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E7515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2951D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34DAD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BCB6C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BE065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5AA4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61E62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7D5F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673B9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66F7A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37F16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33C7B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80A6A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85DD8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8FAE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2DE72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0908F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A926F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7F5A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A78BB7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A7BDF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2FF92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57AF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FB725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5DF27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2C3D16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305E1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9778A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D14F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19D6D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0B994C" w14:textId="4F957536" w:rsidR="00AF6782" w:rsidRDefault="00F732C3" w:rsidP="004D4692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  <w:bookmarkEnd w:id="1"/>
    </w:p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743ED"/>
    <w:rsid w:val="000F1C8A"/>
    <w:rsid w:val="00114AD6"/>
    <w:rsid w:val="001179C0"/>
    <w:rsid w:val="00120A65"/>
    <w:rsid w:val="00204E00"/>
    <w:rsid w:val="002B0698"/>
    <w:rsid w:val="00357CDB"/>
    <w:rsid w:val="00383C25"/>
    <w:rsid w:val="003C47E7"/>
    <w:rsid w:val="004D4692"/>
    <w:rsid w:val="006C16AD"/>
    <w:rsid w:val="00737545"/>
    <w:rsid w:val="00791143"/>
    <w:rsid w:val="008B2B4B"/>
    <w:rsid w:val="008B715C"/>
    <w:rsid w:val="008C4DFA"/>
    <w:rsid w:val="00A37E77"/>
    <w:rsid w:val="00AF5F2A"/>
    <w:rsid w:val="00AF6782"/>
    <w:rsid w:val="00B040C9"/>
    <w:rsid w:val="00B74A41"/>
    <w:rsid w:val="00BE3F89"/>
    <w:rsid w:val="00CB5285"/>
    <w:rsid w:val="00F7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AF73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2026-02-19T06:33:00Z</dcterms:created>
  <dcterms:modified xsi:type="dcterms:W3CDTF">2026-02-19T06:33:00Z</dcterms:modified>
</cp:coreProperties>
</file>