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2B96E7D9" w14:textId="77777777" w:rsidR="00AF5F2A" w:rsidRPr="00AF5F2A" w:rsidRDefault="00AF5F2A" w:rsidP="00AF5F2A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 w:rsidRPr="00AF5F2A">
        <w:rPr>
          <w:rFonts w:eastAsia="Times New Roman"/>
          <w:b/>
          <w:bCs/>
          <w:color w:val="000080"/>
          <w:lang w:val="en-US"/>
        </w:rPr>
        <w:t>Muddatli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omonatning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asosiy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shartlari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toʻgʻrisidagi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axborot</w:t>
      </w:r>
      <w:proofErr w:type="spellEnd"/>
    </w:p>
    <w:p w14:paraId="574927BA" w14:textId="77777777" w:rsidR="00AF5F2A" w:rsidRDefault="00AF5F2A" w:rsidP="00AF5F2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VARAQASI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34"/>
        <w:gridCol w:w="107"/>
        <w:gridCol w:w="214"/>
        <w:gridCol w:w="66"/>
        <w:gridCol w:w="580"/>
        <w:gridCol w:w="66"/>
        <w:gridCol w:w="559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451"/>
      </w:tblGrid>
      <w:tr w:rsidR="00E96125" w14:paraId="46824C08" w14:textId="77777777" w:rsidTr="00E961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6E759D" w14:paraId="293929F1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ABA467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bankining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</w:p>
          <w:p w14:paraId="46CEC08F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veb-sayti</w:t>
            </w:r>
            <w:proofErr w:type="spellEnd"/>
          </w:p>
          <w:p w14:paraId="04BE102F" w14:textId="77777777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raqamlari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F9393" w14:textId="77777777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 XATB</w:t>
            </w:r>
          </w:p>
          <w:p w14:paraId="5B4D203A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7D155BD3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77777777" w:rsidR="00AF5F2A" w:rsidRPr="008B715C" w:rsidRDefault="00AF5F2A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333333"/>
                <w:sz w:val="20"/>
                <w:szCs w:val="20"/>
              </w:rPr>
              <w:t xml:space="preserve">1-boʻlim.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Omonatning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asosiy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shartlari</w:t>
            </w:r>
            <w:proofErr w:type="spellEnd"/>
          </w:p>
        </w:tc>
      </w:tr>
      <w:tr w:rsidR="008B715C" w14:paraId="2ADF87A2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7AC2A3B9" w:rsidR="00AF5F2A" w:rsidRPr="008B715C" w:rsidRDefault="000F33B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proofErr w:type="spellStart"/>
            <w:r w:rsid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ishonch</w:t>
            </w:r>
            <w:proofErr w:type="spellEnd"/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8B715C" w14:paraId="1FE96D31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valyutasi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720F8AC6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667B1E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m</w:t>
            </w:r>
            <w:proofErr w:type="spellEnd"/>
          </w:p>
        </w:tc>
      </w:tr>
      <w:tr w:rsidR="008B715C" w:rsidRPr="006E759D" w14:paraId="55DE19A6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agar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differensiallashgan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usuliga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bogʻliq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boʻlsa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alohida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koʻrsatiladi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0E171221" w:rsid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Bank </w:t>
            </w:r>
            <w:proofErr w:type="spellStart"/>
            <w:proofErr w:type="gram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="00667B1E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limlari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="003B1B88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3B1B88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naqd</w:t>
            </w:r>
            <w:proofErr w:type="spellEnd"/>
            <w:r w:rsidR="003B1B8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ko’rinishda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%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</w:p>
          <w:p w14:paraId="67983961" w14:textId="4590DA35" w:rsidR="00AF5F2A" w:rsidRPr="008B715C" w:rsidRDefault="003B1B88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bookmarkStart w:id="0" w:name="_Hlk232521409"/>
            <w:bookmarkStart w:id="1" w:name="_GoBack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Bank </w:t>
            </w:r>
            <w:proofErr w:type="spellStart"/>
            <w:proofErr w:type="gram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limlari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naqdsiz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ko’rinishda</w:t>
            </w:r>
            <w:proofErr w:type="spellEnd"/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Mobil </w:t>
            </w:r>
            <w:proofErr w:type="spellStart"/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ilova</w:t>
            </w:r>
            <w:proofErr w:type="spellEnd"/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-</w:t>
            </w:r>
            <w:r w:rsidR="00357D8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 w:rsid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  <w:bookmarkEnd w:id="0"/>
            <w:bookmarkEnd w:id="1"/>
          </w:p>
        </w:tc>
      </w:tr>
      <w:tr w:rsidR="008B715C" w14:paraId="1411E840" w14:textId="77777777" w:rsidTr="00E96125">
        <w:trPr>
          <w:trHeight w:val="635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77777777" w:rsidR="00AF5F2A" w:rsidRPr="00114AD6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kapitalizatsiyasi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mavjudligi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mablagʻga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qoʻshib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4D02BD" w14:textId="77777777" w:rsidR="00667B1E" w:rsidRPr="003B1B88" w:rsidRDefault="00667B1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1FAEE848" w14:textId="705656CE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14:paraId="0D2B6572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3AD1C9C8" w:rsidR="00AF5F2A" w:rsidRPr="008B715C" w:rsidRDefault="00AB752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oy</w:t>
            </w:r>
          </w:p>
        </w:tc>
      </w:tr>
      <w:tr w:rsidR="008B715C" w:rsidRPr="00AF5F2A" w14:paraId="76BFBC6C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qoʻyiladigan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mablagʻning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kam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31956D4A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667B1E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m</w:t>
            </w:r>
            <w:proofErr w:type="spellEnd"/>
          </w:p>
        </w:tc>
      </w:tr>
      <w:tr w:rsidR="008B715C" w:rsidRPr="006E759D" w14:paraId="084AC829" w14:textId="77777777" w:rsidTr="00E96125">
        <w:trPr>
          <w:trHeight w:val="315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toʻlash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davriyligi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1088EF70" w:rsidR="00AF5F2A" w:rsidRPr="008B715C" w:rsidRDefault="00357D8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har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30 </w:t>
            </w:r>
            <w:proofErr w:type="spell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kundan</w:t>
            </w:r>
            <w:proofErr w:type="spellEnd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667B1E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B715C" w:rsidRPr="006E759D" w14:paraId="4052D081" w14:textId="77777777" w:rsidTr="00E96125">
        <w:trPr>
          <w:trHeight w:val="661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rasmiylashtirish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B0BF6C" w14:textId="77777777" w:rsidR="00667B1E" w:rsidRDefault="00667B1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30762AC0" w14:textId="1EFAA5A0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</w:p>
        </w:tc>
      </w:tr>
      <w:tr w:rsidR="008B715C" w:rsidRPr="00357D8E" w14:paraId="6B872D51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Qoʻshimcha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kiritish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4EABC4A9" w:rsidR="00AF5F2A" w:rsidRPr="00114AD6" w:rsidRDefault="00B63368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AF5F2A" w14:paraId="34307CA6" w14:textId="77777777" w:rsidTr="00E96125">
        <w:trPr>
          <w:trHeight w:val="734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Avtouzaytirish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tugaganda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tomonlama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B8C19" w14:textId="77777777" w:rsidR="00667B1E" w:rsidRPr="003B1B88" w:rsidRDefault="00667B1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78501B33" w14:textId="146EE7B3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B63368" w14:paraId="41B0B22A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shartlar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017268F1" w:rsidR="00AF5F2A" w:rsidRPr="000F33B9" w:rsidRDefault="00667B1E" w:rsidP="00667B1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67B1E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mablag‘i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qabul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qilish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pulda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kartochka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tuggan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mablag‘ini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orqali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amalga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oshiriladi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sumasini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tugaganidan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keyin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shartidan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kelib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chiqqan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holda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kartochkaga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valyutasida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>qaytariladi</w:t>
            </w:r>
            <w:proofErr w:type="spellEnd"/>
            <w:r w:rsidR="00B63368" w:rsidRPr="00B6336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summasiga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proofErr w:type="gramEnd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shib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borilmaydi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tugaganidan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gramEnd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olinmagan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taqdirda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olinguncha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omonatlar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hisobraqamiga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r w:rsidR="00B63368" w:rsidRPr="00B63368">
              <w:rPr>
                <w:rFonts w:eastAsia="Times New Roman"/>
                <w:color w:val="000000"/>
                <w:sz w:val="20"/>
                <w:szCs w:val="20"/>
                <w:lang w:val="en-US"/>
              </w:rPr>
              <w:t>tkaziladi</w:t>
            </w:r>
            <w:proofErr w:type="spellEnd"/>
            <w:r w:rsidR="00B63368" w:rsidRPr="000F33B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000000"/>
                <w:sz w:val="20"/>
                <w:szCs w:val="20"/>
              </w:rPr>
              <w:t xml:space="preserve">2-boʻlim.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Boshqa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muhim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shartlar</w:t>
            </w:r>
            <w:proofErr w:type="spellEnd"/>
          </w:p>
        </w:tc>
      </w:tr>
      <w:tr w:rsidR="008B715C" w14:paraId="6C7A80D1" w14:textId="77777777" w:rsidTr="00E96125">
        <w:trPr>
          <w:trHeight w:val="577"/>
        </w:trPr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qoʻyilgan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mablagʻlarini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tugagunga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qadar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qisman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yechib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olish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mavjudligi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9342E7" w14:textId="77777777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667B1E" w14:paraId="0F44DD05" w14:textId="77777777" w:rsidTr="00E96125">
        <w:tc>
          <w:tcPr>
            <w:tcW w:w="25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shartnomasini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bekor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</w:p>
        </w:tc>
        <w:tc>
          <w:tcPr>
            <w:tcW w:w="25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CECA91" w14:textId="2354CDE2" w:rsidR="00AB7525" w:rsidRDefault="00667B1E" w:rsidP="00667B1E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mablag‘</w:t>
            </w:r>
            <w:proofErr w:type="gram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lari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talab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olinganda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mablag‘i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quyidagi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shartlar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asosida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hisob-kitob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qilinadi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summasidan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ushlab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qolinadi</w:t>
            </w:r>
            <w:proofErr w:type="spellEnd"/>
            <w:r w:rsidR="00AB7525"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03E06B29" w14:textId="5572D7D4" w:rsidR="00AB7525" w:rsidRPr="00AB7525" w:rsidRDefault="00AB7525" w:rsidP="00667B1E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oygacha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- 0%</w:t>
            </w:r>
          </w:p>
          <w:p w14:paraId="537BBA25" w14:textId="50005EFB" w:rsidR="00AB7525" w:rsidRPr="00AB7525" w:rsidRDefault="00AB7525" w:rsidP="00667B1E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oydan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- 6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oygacha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667B1E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12% (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mobil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ilovada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– 13%)</w:t>
            </w:r>
          </w:p>
          <w:p w14:paraId="26FB3C4B" w14:textId="34D44FA6" w:rsidR="00AF5F2A" w:rsidRPr="007861C2" w:rsidRDefault="00AB7525" w:rsidP="00667B1E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oydan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– 12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oygacha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– 15% (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mobil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>ilovada</w:t>
            </w:r>
            <w:proofErr w:type="spellEnd"/>
            <w:r w:rsidRPr="00AB752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– 16%)</w:t>
            </w:r>
          </w:p>
        </w:tc>
      </w:tr>
      <w:tr w:rsidR="00AF5F2A" w:rsidRPr="00667B1E" w14:paraId="25B49601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8B715C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F5F2A" w:rsidRPr="006E759D" w14:paraId="33CB68C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B7A9C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qoʻyishga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rozi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boʻlishdan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diqqat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oʻrganib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chiqing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!</w:t>
            </w:r>
          </w:p>
        </w:tc>
      </w:tr>
      <w:tr w:rsidR="00AF5F2A" w:rsidRPr="006E759D" w14:paraId="32EC48E2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7F2CF4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daromadlari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hisob-kitoblar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toʻgʻrisida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huquqlaringiz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majburiyatlaringiz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tushunarsiz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boʻlgan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masalalar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yuzasidan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toʻliq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batafsil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maʼlumot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haqlisiz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6E759D" w14:paraId="0F396FA4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B4E171" w14:textId="77777777" w:rsidR="00AF5F2A" w:rsidRPr="008B715C" w:rsidRDefault="00AF5F2A" w:rsidP="008B715C">
            <w:pPr>
              <w:spacing w:after="2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Agar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shikoyatlar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holda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murojaatingizni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pochtasi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joʻnatishingiz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B715C" w:rsidRPr="006E759D" w14:paraId="7E59759F" w14:textId="77777777" w:rsidTr="00E96125">
        <w:tc>
          <w:tcPr>
            <w:tcW w:w="25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7C93E9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AXBOROT VARAQASINING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TOʻGʻRILIGI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VA HAQIQIYLIGI TASDIQLANADI.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114AD6">
              <w:rPr>
                <w:rFonts w:eastAsia="Times New Roman"/>
                <w:color w:val="000000"/>
                <w:lang w:val="en-US"/>
              </w:rPr>
              <w:br/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43275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ECD5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F7D40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44B9D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B6DA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C9E6F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DBEDB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FDBC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05E9B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A21F3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551F3F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9CA807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E6DCD9" w14:textId="77777777" w:rsidR="00AF5F2A" w:rsidRP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B35589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54767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12412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17E5D" w14:textId="77777777" w:rsidR="00AF5F2A" w:rsidRPr="00AF5F2A" w:rsidRDefault="00AF5F2A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B715C" w14:paraId="3B34CB8A" w14:textId="77777777" w:rsidTr="00E96125"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024BA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DE98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433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7E6D53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114AD6" w14:paraId="45A0D470" w14:textId="77777777" w:rsidTr="00E96125">
        <w:tc>
          <w:tcPr>
            <w:tcW w:w="0" w:type="auto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71446C" w14:textId="77777777" w:rsidR="00114AD6" w:rsidRPr="00AF5F2A" w:rsidRDefault="00114AD6" w:rsidP="003D2236">
            <w:pPr>
              <w:rPr>
                <w:color w:val="000000"/>
                <w:lang w:val="en-US"/>
              </w:rPr>
            </w:pPr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(bank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mutaxassisining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AF5F2A">
              <w:rPr>
                <w:rStyle w:val="a4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5AD486" w14:textId="77777777" w:rsidR="00114AD6" w:rsidRPr="00AF5F2A" w:rsidRDefault="00114AD6" w:rsidP="003D2236">
            <w:pPr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80B18" w14:textId="77777777" w:rsidR="00114AD6" w:rsidRPr="00AF5F2A" w:rsidRDefault="00114AD6" w:rsidP="003D223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34" w:type="pct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EE7F92" w14:textId="77777777" w:rsidR="00114AD6" w:rsidRDefault="00114AD6" w:rsidP="003D2236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toʻldirilgan</w:t>
            </w:r>
            <w:proofErr w:type="spellEnd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sana</w:t>
            </w:r>
            <w:proofErr w:type="spellEnd"/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E96125" w14:paraId="1AB23E34" w14:textId="77777777" w:rsidTr="00E96125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2A2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8C14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CDF7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4FA0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D96BD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AC38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FC53F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2DBB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7125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B690A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D85B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452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1547D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72832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DA2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F922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87E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F906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82E78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9127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4632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3FB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9BD57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592E0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8207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12E945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8BED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122EF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A1983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A77C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6125" w14:paraId="432016E0" w14:textId="77777777" w:rsidTr="00E961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08FEB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21C58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A35AE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E242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1398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D86E0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289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EE1E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DC80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25EE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403C0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4ADC0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E73D4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268CA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DF36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9F741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3536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7003F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5490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34239E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4755B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AF33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51EB8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62A4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4FFBF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32D3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699C9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AA68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6CC18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4A014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7777777" w:rsidR="00AF5F2A" w:rsidRDefault="00AF5F2A" w:rsidP="00AF5F2A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</w:t>
      </w:r>
      <w:proofErr w:type="spellStart"/>
      <w:r>
        <w:rPr>
          <w:rFonts w:eastAsia="Times New Roman"/>
          <w:color w:val="339966"/>
          <w:sz w:val="20"/>
          <w:szCs w:val="20"/>
        </w:rPr>
        <w:t>Mazkur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varaqa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shartnomasi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yoki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buyurtmanoma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oʻrnini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bosmaydi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aksincha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turli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banklarning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omonat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shartlarini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taqqoslashga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kerakli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tanlovni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oshirishga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yordam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beradi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sectPr w:rsidR="00AF5F2A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33B9"/>
    <w:rsid w:val="00114AD6"/>
    <w:rsid w:val="00357CDB"/>
    <w:rsid w:val="00357D8E"/>
    <w:rsid w:val="003B1B88"/>
    <w:rsid w:val="00667B1E"/>
    <w:rsid w:val="006B26DC"/>
    <w:rsid w:val="006E759D"/>
    <w:rsid w:val="007861C2"/>
    <w:rsid w:val="008B715C"/>
    <w:rsid w:val="00911F29"/>
    <w:rsid w:val="00AB7525"/>
    <w:rsid w:val="00AF5F2A"/>
    <w:rsid w:val="00AF6782"/>
    <w:rsid w:val="00B63368"/>
    <w:rsid w:val="00BE3F89"/>
    <w:rsid w:val="00E96125"/>
    <w:rsid w:val="00F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Надежда Буйлова</cp:lastModifiedBy>
  <cp:revision>13</cp:revision>
  <dcterms:created xsi:type="dcterms:W3CDTF">2025-10-16T13:07:00Z</dcterms:created>
  <dcterms:modified xsi:type="dcterms:W3CDTF">2026-06-16T11:56:00Z</dcterms:modified>
</cp:coreProperties>
</file>