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D711" w14:textId="77777777" w:rsidR="00E65A10" w:rsidRDefault="00E65A10" w:rsidP="00E65A1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98ECE4" wp14:editId="5D8B286E">
            <wp:simplePos x="0" y="0"/>
            <wp:positionH relativeFrom="margin">
              <wp:posOffset>749917</wp:posOffset>
            </wp:positionH>
            <wp:positionV relativeFrom="paragraph">
              <wp:posOffset>0</wp:posOffset>
            </wp:positionV>
            <wp:extent cx="4210050" cy="5238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067D7" w14:textId="77777777" w:rsidR="00E65A10" w:rsidRPr="00E65A10" w:rsidRDefault="00E65A10" w:rsidP="00E65A1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«</w:t>
      </w:r>
      <w:bookmarkStart w:id="0" w:name="_Hlk231545718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QR </w:t>
      </w:r>
      <w:proofErr w:type="spell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orqali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to‘</w:t>
      </w:r>
      <w:proofErr w:type="gram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lang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- </w:t>
      </w:r>
      <w:proofErr w:type="spell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pul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yutib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oling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!</w:t>
      </w:r>
      <w:bookmarkEnd w:id="0"/>
      <w:r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» promo-</w:t>
      </w:r>
      <w:proofErr w:type="spellStart"/>
      <w:r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aksiyasi</w:t>
      </w:r>
      <w:proofErr w:type="spellEnd"/>
      <w:r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qoidalari</w:t>
      </w:r>
      <w:proofErr w:type="spellEnd"/>
    </w:p>
    <w:p w14:paraId="284C7395" w14:textId="77777777" w:rsidR="00E65A10" w:rsidRPr="00E65A10" w:rsidRDefault="00E65A10" w:rsidP="00E65A1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17FAD1C1" w14:textId="77777777" w:rsidR="00E65A10" w:rsidRPr="00E65A10" w:rsidRDefault="009F6590" w:rsidP="00E65A1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1.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Umumiy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qoidalar</w:t>
      </w:r>
      <w:proofErr w:type="spellEnd"/>
      <w:r w:rsidR="00AF3C8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</w:p>
    <w:p w14:paraId="0C4D9C8D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1.1.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qoidalar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«</w:t>
      </w:r>
      <w:r w:rsidR="00AF3C88" w:rsidRPr="00AF3C8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QR </w:t>
      </w:r>
      <w:proofErr w:type="spell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orqali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to‘</w:t>
      </w:r>
      <w:proofErr w:type="gram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lang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- </w:t>
      </w:r>
      <w:proofErr w:type="spell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pul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yutib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oling</w:t>
      </w:r>
      <w:proofErr w:type="spellEnd"/>
      <w:r w:rsidR="00387C86"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!</w:t>
      </w: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» promo-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aksiyasini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o‘tkazish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tartibi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shartlari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o‘tkazilish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joyi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muddatini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belgilaydi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87B92FC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1.2.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zbekiston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hududida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«Orient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»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7C28524" w14:textId="77777777" w:rsidR="00E65A10" w:rsidRPr="00387C86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1.3.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 (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uch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oy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muddat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davomida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tkaziladi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aniq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boshlanish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yakunlanish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sanalari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Bank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tasdiqlanadi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e’lon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qilinadi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="00387C86" w:rsidRPr="00387C8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p w14:paraId="5C7AADBD" w14:textId="77777777" w:rsidR="00E65A10" w:rsidRPr="00E65A10" w:rsidRDefault="009F6590" w:rsidP="00E65A10">
      <w:pPr>
        <w:spacing w:before="240"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Aksiya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ishtirokchilari</w:t>
      </w:r>
      <w:proofErr w:type="spellEnd"/>
    </w:p>
    <w:p w14:paraId="69680892" w14:textId="77777777" w:rsidR="00E65A10" w:rsidRPr="00E65A10" w:rsidRDefault="00E65A10" w:rsidP="00E65A10">
      <w:pPr>
        <w:spacing w:before="240"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2.1.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18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yoshga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lgan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O‘zbekiston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Respublikasi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fuqarolari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etishlari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bundan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XATB «Orient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Finans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»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xodimlari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ularning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yaqin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qarindoshlari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mustasno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71DABDE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2.2.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ishtirokchining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qoidalarga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liq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roziligini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anglatadi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285753E5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2.3.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Qoidalarga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rioya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qilinmagan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taqdirda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ishtirokchi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sovrin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huquqidan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mahrum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etiladi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393A2F6A" w14:textId="77777777" w:rsidR="00E65A10" w:rsidRPr="00E65A10" w:rsidRDefault="009F6590" w:rsidP="00E65A10">
      <w:pPr>
        <w:spacing w:before="240"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3.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Aksiyada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ishtirok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etish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shartlari</w:t>
      </w:r>
      <w:proofErr w:type="spellEnd"/>
    </w:p>
    <w:p w14:paraId="0839CA55" w14:textId="77777777" w:rsidR="00E65A10" w:rsidRPr="00E65A10" w:rsidRDefault="00E65A10" w:rsidP="00E65A10">
      <w:pPr>
        <w:spacing w:before="240"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3.1.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mijoz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tegishli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bosqich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davomida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Bankning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QR-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lov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xizmati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kamida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100 000 (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yuz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so‘m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miqdorida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bitta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tranzaksiyani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amalga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oshirishi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lozim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2C13C3AC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3.2.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Belgilangan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shartlarni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bajargan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mijoz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avtomatik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ravishda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tegishli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bosqichning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ishtirokchisi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hisoblanadi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0D465815" w14:textId="77777777" w:rsid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3.3. Har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bosqichda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shartlarini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bajargan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mijoz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keyingi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bosqichlarda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qayta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huquqiga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ega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EADD2C0" w14:textId="77777777" w:rsidR="009C0E3D" w:rsidRPr="00E65A10" w:rsidRDefault="00173CEA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3.4 </w:t>
      </w: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bosqichda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deb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topilgan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mijoz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ushbu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bosqich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doirasida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takroran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g‘olib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bo‘lishi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emas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Har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ishtirokchi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bosqichda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faqat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marta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sifatida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="009F68A6" w:rsidRPr="009F68A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4D7B07A3" w14:textId="77777777" w:rsidR="00E65A10" w:rsidRPr="00E65A10" w:rsidRDefault="009F6590" w:rsidP="00E65A10">
      <w:pPr>
        <w:spacing w:before="240"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387C8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Sovrin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jamg‘</w:t>
      </w:r>
      <w:proofErr w:type="gram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armasi</w:t>
      </w:r>
      <w:proofErr w:type="spellEnd"/>
    </w:p>
    <w:p w14:paraId="03E0C3AC" w14:textId="77777777" w:rsidR="00E65A10" w:rsidRPr="00E65A10" w:rsidRDefault="00E65A10" w:rsidP="00E65A10">
      <w:pPr>
        <w:spacing w:before="240"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4.1.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doirasida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har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15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kunda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marotaba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pul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mukofotlari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yini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0BF4D96" w14:textId="77777777" w:rsidR="009C0E3D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4.2. </w:t>
      </w:r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Har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bosqich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yakunlari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bo‘</w:t>
      </w:r>
      <w:proofErr w:type="gram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yicha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50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nafar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g‘olib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har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bir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g‘olibga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300 000 (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uch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yuz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ming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so‘m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miqdorida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pul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mukofoti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>beriladi</w:t>
      </w:r>
      <w:proofErr w:type="spellEnd"/>
      <w:r w:rsidR="009C0E3D" w:rsidRPr="009C0E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</w:t>
      </w:r>
    </w:p>
    <w:p w14:paraId="261064DC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4.3. Pul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mukofotlari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oliblarning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elektron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hamyonlariga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o‘tkazib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beriladi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DFA1EF1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4.4.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davomida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jami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6 ta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bosqichli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yin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o‘tkaziladi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F81E747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4.5. Jami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oliblar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soni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300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nafarni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tashkil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etadi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59285EF" w14:textId="77777777" w:rsidR="009C0E3D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4.6.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umumiy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mukofot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jamg‘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armasi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90 000 000 (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to‘qson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million)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so‘mni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tashkil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etadi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3128CDF5" w14:textId="77777777" w:rsidR="009F68A6" w:rsidRDefault="009F68A6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5720953" w14:textId="77777777" w:rsidR="009F68A6" w:rsidRDefault="009F68A6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2DC560D" w14:textId="77777777" w:rsidR="009F68A6" w:rsidRPr="00E65A10" w:rsidRDefault="009F68A6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59DDDA3B" w14:textId="77777777" w:rsidR="00E65A10" w:rsidRPr="00E65A10" w:rsidRDefault="009F6590" w:rsidP="00E65A10">
      <w:pPr>
        <w:spacing w:before="24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9F659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lastRenderedPageBreak/>
        <w:t xml:space="preserve">5. </w:t>
      </w:r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Promo-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aksiyani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o‘</w:t>
      </w:r>
      <w:proofErr w:type="gram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tkazish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tartibi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va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g‘oliblarni</w:t>
      </w:r>
      <w:proofErr w:type="spellEnd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E65A10" w:rsidRPr="00E65A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aniqlash</w:t>
      </w:r>
      <w:proofErr w:type="spellEnd"/>
    </w:p>
    <w:p w14:paraId="2F09FB67" w14:textId="77777777" w:rsidR="00E65A10" w:rsidRPr="00E65A10" w:rsidRDefault="00E65A10" w:rsidP="00E65A10">
      <w:pPr>
        <w:spacing w:before="240"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5.1. 4.1-bandda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ko‘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rsatilgan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yutuqli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o‘yinlarning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ishtirokchilari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deb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shartlarini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bajargan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tegishli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bosqich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davomida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Bankning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QR-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to‘lov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xizmati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kamida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      100 000 (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yuz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ming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so‘m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miqdorida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tranzaksiya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amalga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oshirgan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mijozlar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hisoblanadi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2CFE7377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1-bosqich:</w:t>
      </w: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05.06.2026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yildan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19.06.2026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yilgacha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shu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kun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kiritilgan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</w:p>
    <w:p w14:paraId="38A055ED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50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nafar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29.06.2026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qadar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A0D39B0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2-bosqich:</w:t>
      </w: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20.06.2026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yildan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04.07.2026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yilgacha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shu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kun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kiritilgan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</w:p>
    <w:p w14:paraId="686B17E9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50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nafar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14.07.2026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qadar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F8132F6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3-bosqich:</w:t>
      </w: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05.07.2026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yildan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19.07.2026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yilgacha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shu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kun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kiritilgan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</w:p>
    <w:p w14:paraId="4A8D0818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50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nafar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29.07.2026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qadar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1F7C5CF5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4-bosqich: </w:t>
      </w: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20.07.2026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yildan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03.08.2026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yilgacha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shu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kun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kiritilgan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</w:p>
    <w:p w14:paraId="0106ED7D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50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nafar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13.08.2026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qadar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01D176A8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5-bosqich:</w:t>
      </w: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04.08.2026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yildan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18.08.2026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yilgacha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shu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kun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kiritilgan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</w:p>
    <w:p w14:paraId="5BC1BEE2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50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nafar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28.08.2026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qadar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32C4BDC1" w14:textId="77777777" w:rsidR="009F68A6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6-bosqich:</w:t>
      </w: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19.08.2026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yildan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02.09.2026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yilgacha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shu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kun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ham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kiritilgan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</w:p>
    <w:p w14:paraId="40B05195" w14:textId="77777777" w:rsidR="00E65A10" w:rsidRPr="009F68A6" w:rsidRDefault="009F68A6" w:rsidP="009F68A6">
      <w:pPr>
        <w:spacing w:after="0"/>
        <w:ind w:left="851" w:hanging="284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50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nafar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g‘</w:t>
      </w:r>
      <w:proofErr w:type="gram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olib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12.09.2026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yilga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qadar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aniqlanadi</w:t>
      </w:r>
      <w:proofErr w:type="spellEnd"/>
      <w:r w:rsidRPr="009F68A6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47368B02" w14:textId="77777777" w:rsidR="009F6590" w:rsidRPr="009F6590" w:rsidRDefault="009F6590" w:rsidP="009F6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5.2 Bank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Aksiya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ishtrokchilari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bilan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yozma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muzokaralar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olib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bormaslik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yoki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boshqa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aloqalar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o’rnatmaslik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huquqini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o’zida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saqlab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qoladi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Aksiya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o’tkazishda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bahsli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holatlar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bundan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 w:eastAsia="ru-RU"/>
        </w:rPr>
        <w:t>mustasno</w:t>
      </w:r>
      <w:proofErr w:type="spellEnd"/>
      <w:r w:rsidRPr="009F6590">
        <w:rPr>
          <w:rFonts w:ascii="Arial" w:hAnsi="Arial" w:cs="Arial"/>
          <w:sz w:val="24"/>
          <w:szCs w:val="24"/>
          <w:lang w:val="en-US" w:eastAsia="ru-RU"/>
        </w:rPr>
        <w:t>.</w:t>
      </w:r>
    </w:p>
    <w:p w14:paraId="127FA951" w14:textId="77777777" w:rsidR="009F6590" w:rsidRPr="009F6590" w:rsidRDefault="009F6590" w:rsidP="009F6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5.3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Sovrinlar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g’oliblari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maxsus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Random.org dasturi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yoki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shunga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o’xshash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tasodifiy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raqamlar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yaratish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dasturlari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orqali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aniqlanadi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68F36E2" w14:textId="77777777" w:rsidR="009F6590" w:rsidRPr="009F6590" w:rsidRDefault="009F6590" w:rsidP="009F6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5.4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Aksiyada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ishtrok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etish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ishtrokchilar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o’z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ism,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sharflari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fotosuratlari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ma’lumotlarini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tashkilotchi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tomonidan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reklama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maqsadlarida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hech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qanday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qo’shimcha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to’lovsiz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qo’llashga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rozilik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berishini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anglatadi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F394740" w14:textId="77777777" w:rsidR="009F6590" w:rsidRPr="009F6590" w:rsidRDefault="009F6590" w:rsidP="009F6590">
      <w:pPr>
        <w:pStyle w:val="a6"/>
        <w:spacing w:after="0" w:line="240" w:lineRule="auto"/>
        <w:ind w:left="0"/>
        <w:jc w:val="both"/>
        <w:rPr>
          <w:rFonts w:eastAsia="Times New Roman" w:cs="Arial"/>
          <w:szCs w:val="24"/>
          <w:lang w:val="en-US"/>
        </w:rPr>
      </w:pPr>
      <w:r w:rsidRPr="009F6590">
        <w:rPr>
          <w:rFonts w:eastAsia="Times New Roman" w:cs="Arial"/>
          <w:szCs w:val="24"/>
          <w:lang w:val="en-US" w:eastAsia="ru-RU"/>
        </w:rPr>
        <w:t xml:space="preserve">5.5 Bank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o’z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xohishiga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ko’ra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ushbu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Qoidalarga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har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qanday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o’zgartirish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va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qo’shimchalar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kiritish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huquqini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saqlab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qoladi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va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bu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o’zgarishlar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qo’llanilishidan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3 (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uch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)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ish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kuni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oldin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r w:rsidRPr="009F6590">
        <w:fldChar w:fldCharType="begin"/>
      </w:r>
      <w:r w:rsidRPr="009F6590">
        <w:rPr>
          <w:rFonts w:cs="Arial"/>
          <w:szCs w:val="24"/>
          <w:lang w:val="en-US"/>
        </w:rPr>
        <w:instrText>"http://www.ofb.uz</w:instrText>
      </w:r>
      <w:r w:rsidRPr="009F6590">
        <w:rPr>
          <w:rFonts w:cs="Arial"/>
          <w:szCs w:val="24"/>
        </w:rPr>
        <w:instrText>з</w:instrText>
      </w:r>
      <w:r w:rsidRPr="009F6590">
        <w:rPr>
          <w:rFonts w:cs="Arial"/>
          <w:szCs w:val="24"/>
          <w:lang w:val="en-US"/>
        </w:rPr>
        <w:instrText xml:space="preserve">" </w:instrText>
      </w:r>
      <w:r w:rsidRPr="009F6590">
        <w:fldChar w:fldCharType="separate"/>
      </w:r>
      <w:r w:rsidRPr="009F6590">
        <w:rPr>
          <w:rStyle w:val="a3"/>
          <w:rFonts w:eastAsia="Times New Roman" w:cs="Arial"/>
          <w:szCs w:val="24"/>
          <w:lang w:val="en-US" w:eastAsia="ru-RU"/>
        </w:rPr>
        <w:t>www.ofb.uz</w:t>
      </w:r>
      <w:r w:rsidRPr="009F6590">
        <w:rPr>
          <w:rStyle w:val="a3"/>
          <w:rFonts w:eastAsia="Times New Roman" w:cs="Arial"/>
          <w:szCs w:val="24"/>
          <w:lang w:val="en-US" w:eastAsia="ru-RU"/>
        </w:rPr>
        <w:fldChar w:fldCharType="end"/>
      </w:r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saytid</w:t>
      </w:r>
      <w:proofErr w:type="spellEnd"/>
      <w:r w:rsidRPr="009F6590">
        <w:rPr>
          <w:rFonts w:eastAsia="Times New Roman" w:cs="Arial"/>
          <w:szCs w:val="24"/>
          <w:lang w:eastAsia="ru-RU"/>
        </w:rPr>
        <w:t>а</w:t>
      </w:r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e’lon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qiladi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. Bank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sovg’alar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ro’yxati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va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ularning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miqdorini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o’zgartirish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yoki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kengaytirish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huquqiga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ega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. Bank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ishtrokchiga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Aksiyada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ishtrok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etish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bilan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bog’liq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yuzaga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kelgan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zarar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,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xarajat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yoki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boshqa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yo’qotishlarni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 w:eastAsia="ru-RU"/>
        </w:rPr>
        <w:t>qoplamaydi</w:t>
      </w:r>
      <w:proofErr w:type="spellEnd"/>
      <w:r w:rsidRPr="009F6590">
        <w:rPr>
          <w:rFonts w:eastAsia="Times New Roman" w:cs="Arial"/>
          <w:szCs w:val="24"/>
          <w:lang w:val="en-US" w:eastAsia="ru-RU"/>
        </w:rPr>
        <w:t xml:space="preserve">. </w:t>
      </w:r>
    </w:p>
    <w:p w14:paraId="536F6992" w14:textId="77777777" w:rsidR="009F6590" w:rsidRPr="009F6590" w:rsidRDefault="009F6590" w:rsidP="009F6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5.6 Bank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sovg’adan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foydalanish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davomida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g’olibning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sog’lig’i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 (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hayoti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) ga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yoki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uchinchi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shaxslarning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>mulki</w:t>
      </w:r>
      <w:proofErr w:type="spellEnd"/>
      <w:r w:rsidRPr="009F6590">
        <w:rPr>
          <w:rFonts w:ascii="Arial" w:eastAsiaTheme="minorEastAsia" w:hAnsi="Arial" w:cs="Arial"/>
          <w:spacing w:val="1"/>
          <w:sz w:val="24"/>
          <w:szCs w:val="24"/>
          <w:lang w:val="en-US" w:eastAsia="ru-RU"/>
        </w:rPr>
        <w:t xml:space="preserve">, </w:t>
      </w:r>
      <w:r w:rsidRPr="009F6590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salomatligi yoki hayotiga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etkazilgan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zarar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uchun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javobgarlikni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o’z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zimmasiga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olmaydi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431E1AC" w14:textId="77777777" w:rsidR="009F6590" w:rsidRPr="009F6590" w:rsidRDefault="009F6590" w:rsidP="009F6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5.7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Aksiyani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o’tkazish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jarayonida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paydo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bo’lishi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mumkin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bo’lgan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barcha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nizo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va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kelishmovchiliklar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Bank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va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ishtrokchi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o’rtasida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ixtiyoriy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muzokara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olib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boorish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yo’li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bilan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hal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etiladi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. Agar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kelishuvga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erishilmasa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nizo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sud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orqali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ko’rib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chiqiladi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en-US" w:eastAsia="ru-RU"/>
        </w:rPr>
        <w:t>.</w:t>
      </w:r>
    </w:p>
    <w:p w14:paraId="38AB894F" w14:textId="77777777" w:rsidR="009F6590" w:rsidRPr="009F6590" w:rsidRDefault="009F6590" w:rsidP="009F6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F6590">
        <w:rPr>
          <w:rFonts w:ascii="Arial" w:hAnsi="Arial" w:cs="Arial"/>
          <w:sz w:val="24"/>
          <w:szCs w:val="24"/>
          <w:lang w:val="en-US"/>
        </w:rPr>
        <w:t xml:space="preserve">5.8 Bank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shubhali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soxta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tranzaksiyalar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aniqlangan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ishtirokchini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sababini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tushuntirmasdan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aksiyadan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chetlashtirish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huquqiga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Pr="009F6590">
        <w:rPr>
          <w:rFonts w:ascii="Arial" w:hAnsi="Arial" w:cs="Arial"/>
          <w:sz w:val="24"/>
          <w:szCs w:val="24"/>
          <w:lang w:val="en-US"/>
        </w:rPr>
        <w:t>.</w:t>
      </w:r>
    </w:p>
    <w:p w14:paraId="27BF5F10" w14:textId="77777777" w:rsidR="009F6590" w:rsidRPr="009F6590" w:rsidRDefault="009F6590" w:rsidP="009F6590">
      <w:pPr>
        <w:pStyle w:val="a6"/>
        <w:spacing w:after="0" w:line="240" w:lineRule="auto"/>
        <w:ind w:left="0"/>
        <w:jc w:val="both"/>
        <w:rPr>
          <w:rFonts w:eastAsia="Times New Roman" w:cs="Arial"/>
          <w:szCs w:val="24"/>
          <w:lang w:val="en-US"/>
        </w:rPr>
      </w:pPr>
      <w:r w:rsidRPr="009F6590">
        <w:rPr>
          <w:rFonts w:eastAsia="Times New Roman" w:cs="Arial"/>
          <w:szCs w:val="24"/>
          <w:lang w:val="en-US"/>
        </w:rPr>
        <w:t xml:space="preserve">5.9 </w:t>
      </w:r>
      <w:proofErr w:type="spellStart"/>
      <w:r w:rsidRPr="009F6590">
        <w:rPr>
          <w:rFonts w:eastAsia="Times New Roman" w:cs="Arial"/>
          <w:szCs w:val="24"/>
          <w:lang w:val="en-US"/>
        </w:rPr>
        <w:t>Aksiya</w:t>
      </w:r>
      <w:proofErr w:type="spellEnd"/>
      <w:r w:rsidRPr="009F6590">
        <w:rPr>
          <w:rFonts w:eastAsia="Times New Roman" w:cs="Arial"/>
          <w:szCs w:val="24"/>
          <w:lang w:val="en-US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/>
        </w:rPr>
        <w:t>g’olblari</w:t>
      </w:r>
      <w:proofErr w:type="spellEnd"/>
      <w:r w:rsidRPr="009F6590">
        <w:rPr>
          <w:rFonts w:eastAsia="Times New Roman" w:cs="Arial"/>
          <w:szCs w:val="24"/>
          <w:lang w:val="en-US"/>
        </w:rPr>
        <w:t xml:space="preserve"> </w:t>
      </w:r>
      <w:r w:rsidR="00000000">
        <w:fldChar w:fldCharType="begin"/>
      </w:r>
      <w:r w:rsidR="00000000" w:rsidRPr="00314DD1">
        <w:rPr>
          <w:lang w:val="en-US"/>
        </w:rPr>
        <w:instrText>HYPERLINK "http://www.ofb.uz"</w:instrText>
      </w:r>
      <w:r w:rsidR="00000000">
        <w:fldChar w:fldCharType="separate"/>
      </w:r>
      <w:r w:rsidRPr="009F6590">
        <w:rPr>
          <w:rStyle w:val="a3"/>
          <w:rFonts w:eastAsia="Times New Roman" w:cs="Arial"/>
          <w:szCs w:val="24"/>
          <w:lang w:val="en-US" w:eastAsia="ru-RU"/>
        </w:rPr>
        <w:t>www.ofb.uz</w:t>
      </w:r>
      <w:r w:rsidR="00000000">
        <w:rPr>
          <w:rStyle w:val="a3"/>
          <w:rFonts w:eastAsia="Times New Roman" w:cs="Arial"/>
          <w:szCs w:val="24"/>
          <w:lang w:val="en-US" w:eastAsia="ru-RU"/>
        </w:rPr>
        <w:fldChar w:fldCharType="end"/>
      </w:r>
      <w:r w:rsidRPr="009F6590">
        <w:rPr>
          <w:rFonts w:eastAsia="Times New Roman" w:cs="Arial"/>
          <w:szCs w:val="24"/>
          <w:lang w:val="en-US"/>
        </w:rPr>
        <w:t xml:space="preserve">, OAV </w:t>
      </w:r>
      <w:proofErr w:type="spellStart"/>
      <w:r w:rsidRPr="009F6590">
        <w:rPr>
          <w:rFonts w:eastAsia="Times New Roman" w:cs="Arial"/>
          <w:szCs w:val="24"/>
          <w:lang w:val="en-US"/>
        </w:rPr>
        <w:t>va</w:t>
      </w:r>
      <w:proofErr w:type="spellEnd"/>
      <w:r w:rsidRPr="009F6590">
        <w:rPr>
          <w:rFonts w:eastAsia="Times New Roman" w:cs="Arial"/>
          <w:szCs w:val="24"/>
          <w:lang w:val="en-US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/>
        </w:rPr>
        <w:t>ijtimoiy</w:t>
      </w:r>
      <w:proofErr w:type="spellEnd"/>
      <w:r w:rsidRPr="009F6590">
        <w:rPr>
          <w:rFonts w:eastAsia="Times New Roman" w:cs="Arial"/>
          <w:szCs w:val="24"/>
          <w:lang w:val="en-US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/>
        </w:rPr>
        <w:t>tarmoqlarda</w:t>
      </w:r>
      <w:proofErr w:type="spellEnd"/>
      <w:r w:rsidRPr="009F6590">
        <w:rPr>
          <w:rFonts w:eastAsia="Times New Roman" w:cs="Arial"/>
          <w:szCs w:val="24"/>
          <w:lang w:val="en-US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/>
        </w:rPr>
        <w:t>e’lon</w:t>
      </w:r>
      <w:proofErr w:type="spellEnd"/>
      <w:r w:rsidRPr="009F6590">
        <w:rPr>
          <w:rFonts w:eastAsia="Times New Roman" w:cs="Arial"/>
          <w:szCs w:val="24"/>
          <w:lang w:val="en-US"/>
        </w:rPr>
        <w:t xml:space="preserve"> </w:t>
      </w:r>
      <w:proofErr w:type="spellStart"/>
      <w:r w:rsidRPr="009F6590">
        <w:rPr>
          <w:rFonts w:eastAsia="Times New Roman" w:cs="Arial"/>
          <w:szCs w:val="24"/>
          <w:lang w:val="en-US"/>
        </w:rPr>
        <w:t>qilinadi</w:t>
      </w:r>
      <w:proofErr w:type="spellEnd"/>
      <w:r w:rsidRPr="009F6590">
        <w:rPr>
          <w:rFonts w:eastAsia="Times New Roman" w:cs="Arial"/>
          <w:szCs w:val="24"/>
          <w:lang w:val="en-US"/>
        </w:rPr>
        <w:t>.</w:t>
      </w:r>
    </w:p>
    <w:p w14:paraId="73AEA799" w14:textId="77777777" w:rsidR="009F6590" w:rsidRPr="009F6590" w:rsidRDefault="009F6590" w:rsidP="009F659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uz-Cyrl-UZ" w:eastAsia="ru-RU"/>
        </w:rPr>
      </w:pPr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5.10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Tashkilotchi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ishtrokchining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Aksiya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shartlariga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rioya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qilmasligi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oqibatlari</w:t>
      </w:r>
      <w:proofErr w:type="spellEnd"/>
      <w:r w:rsidRPr="009F659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9F6590">
        <w:rPr>
          <w:rFonts w:ascii="Arial" w:eastAsia="Times New Roman" w:hAnsi="Arial" w:cs="Arial"/>
          <w:sz w:val="24"/>
          <w:szCs w:val="24"/>
          <w:lang w:val="en-US"/>
        </w:rPr>
        <w:t>uchun</w:t>
      </w:r>
      <w:proofErr w:type="spellEnd"/>
      <w:r w:rsidRPr="009F6590">
        <w:rPr>
          <w:rFonts w:ascii="Arial" w:eastAsiaTheme="minorEastAsia" w:hAnsi="Arial" w:cs="Arial"/>
          <w:sz w:val="24"/>
          <w:szCs w:val="24"/>
          <w:lang w:val="uz-Cyrl-UZ" w:eastAsia="ru-RU"/>
        </w:rPr>
        <w:t xml:space="preserve"> javobgar emas.</w:t>
      </w:r>
    </w:p>
    <w:p w14:paraId="0E60A108" w14:textId="77777777" w:rsidR="00E65A10" w:rsidRPr="009F6590" w:rsidRDefault="00E65A10" w:rsidP="00E65A10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p w14:paraId="2C0E5A8B" w14:textId="77777777" w:rsidR="00E65A10" w:rsidRPr="00173CEA" w:rsidRDefault="009F6590" w:rsidP="00E65A10">
      <w:pPr>
        <w:spacing w:before="240" w:after="0"/>
        <w:jc w:val="center"/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</w:pPr>
      <w:r w:rsidRPr="00173CEA"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  <w:t xml:space="preserve">6. </w:t>
      </w:r>
      <w:r w:rsidR="00E65A10" w:rsidRPr="00173CEA"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  <w:t>Aksiya ishtirokchilarini xabardor qilish tartibi</w:t>
      </w:r>
    </w:p>
    <w:p w14:paraId="3DB44789" w14:textId="77777777" w:rsidR="00E65A10" w:rsidRPr="00173CEA" w:rsidRDefault="00E65A10" w:rsidP="00E65A10">
      <w:pPr>
        <w:spacing w:before="240" w:after="0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173CEA">
        <w:rPr>
          <w:rFonts w:ascii="Arial" w:eastAsia="Times New Roman" w:hAnsi="Arial" w:cs="Arial"/>
          <w:sz w:val="24"/>
          <w:szCs w:val="24"/>
          <w:lang w:val="uz-Cyrl-UZ" w:eastAsia="ru-RU"/>
        </w:rPr>
        <w:t>6.1. Aksiya haqidagi ma’lumotlar Bankning rasmiy veb-sayti, ijtimoiy tarmoqlardagi sahifalari hamda boshqa axborot kanallari orqali e’lon qilinadi.</w:t>
      </w:r>
    </w:p>
    <w:p w14:paraId="48291FB9" w14:textId="77777777" w:rsidR="00E65A10" w:rsidRPr="00E65A10" w:rsidRDefault="00E65A10" w:rsidP="00E65A1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6.2.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Aksiya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shartlari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muddatlari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natijalari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yicha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batafsil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ma’lumot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www.ofb.uz (http://www.ofb.uz/)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saytida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joylashtiriladi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6CB2C496" w14:textId="77777777" w:rsidR="008C6225" w:rsidRPr="00E65A10" w:rsidRDefault="00E65A10" w:rsidP="00E65A1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6.3. </w:t>
      </w:r>
      <w:proofErr w:type="spellStart"/>
      <w:proofErr w:type="gram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Qo‘</w:t>
      </w:r>
      <w:proofErr w:type="gram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shimcha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ma’lumotlarni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(+998 71) 200-88-99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telefon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raqami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orqali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olish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mumkin</w:t>
      </w:r>
      <w:proofErr w:type="spellEnd"/>
      <w:r w:rsidRPr="00E65A10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sectPr w:rsidR="008C6225" w:rsidRPr="00E65A10" w:rsidSect="00E65A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F2896"/>
    <w:multiLevelType w:val="hybridMultilevel"/>
    <w:tmpl w:val="0F582322"/>
    <w:lvl w:ilvl="0" w:tplc="8E3881BA">
      <w:start w:val="1"/>
      <w:numFmt w:val="decimal"/>
      <w:lvlText w:val="5.%1."/>
      <w:lvlJc w:val="left"/>
      <w:pPr>
        <w:ind w:left="107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24591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10"/>
    <w:rsid w:val="00173CEA"/>
    <w:rsid w:val="002420F8"/>
    <w:rsid w:val="00250FDF"/>
    <w:rsid w:val="00314DD1"/>
    <w:rsid w:val="00353DD1"/>
    <w:rsid w:val="00387C86"/>
    <w:rsid w:val="00862FF1"/>
    <w:rsid w:val="008C6225"/>
    <w:rsid w:val="009C0E3D"/>
    <w:rsid w:val="009F6590"/>
    <w:rsid w:val="009F68A6"/>
    <w:rsid w:val="00AF3C88"/>
    <w:rsid w:val="00E6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B4CD9-9254-4BFC-8A38-0B75B8DD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A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DD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6590"/>
    <w:pPr>
      <w:spacing w:after="200" w:line="276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Зиёда Сахиева</dc:creator>
  <cp:keywords/>
  <dc:description/>
  <cp:lastModifiedBy>Ясмина Ходжиева</cp:lastModifiedBy>
  <cp:revision>2</cp:revision>
  <dcterms:created xsi:type="dcterms:W3CDTF">2026-06-05T12:58:00Z</dcterms:created>
  <dcterms:modified xsi:type="dcterms:W3CDTF">2026-06-05T12:58:00Z</dcterms:modified>
</cp:coreProperties>
</file>